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F34DDA"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F34DDA">
        <w:rPr>
          <w:rFonts w:ascii="Arial" w:hAnsi="Arial" w:cs="Arial"/>
          <w:b/>
          <w:sz w:val="24"/>
          <w:szCs w:val="24"/>
        </w:rPr>
        <w:t>NSC Technical Subcommittee Call Minutes –</w:t>
      </w:r>
      <w:r w:rsidR="00BB47A1" w:rsidRPr="00F34DDA">
        <w:rPr>
          <w:rFonts w:ascii="Arial" w:hAnsi="Arial" w:cs="Arial"/>
          <w:b/>
          <w:sz w:val="24"/>
          <w:szCs w:val="24"/>
        </w:rPr>
        <w:t xml:space="preserve"> </w:t>
      </w:r>
      <w:r w:rsidR="002C0EDA" w:rsidRPr="00F34DDA">
        <w:rPr>
          <w:rFonts w:ascii="Arial" w:hAnsi="Arial" w:cs="Arial"/>
          <w:b/>
          <w:sz w:val="24"/>
          <w:szCs w:val="24"/>
        </w:rPr>
        <w:t xml:space="preserve">October </w:t>
      </w:r>
      <w:r w:rsidR="00D33E1A" w:rsidRPr="00F34DDA">
        <w:rPr>
          <w:rFonts w:ascii="Arial" w:hAnsi="Arial" w:cs="Arial"/>
          <w:b/>
          <w:sz w:val="24"/>
          <w:szCs w:val="24"/>
        </w:rPr>
        <w:t>1</w:t>
      </w:r>
      <w:r w:rsidR="002C0EDA" w:rsidRPr="00F34DDA">
        <w:rPr>
          <w:rFonts w:ascii="Arial" w:hAnsi="Arial" w:cs="Arial"/>
          <w:b/>
          <w:sz w:val="24"/>
          <w:szCs w:val="24"/>
        </w:rPr>
        <w:t>7</w:t>
      </w:r>
      <w:r w:rsidR="00BD6EFC" w:rsidRPr="00F34DDA">
        <w:rPr>
          <w:rFonts w:ascii="Arial" w:hAnsi="Arial" w:cs="Arial"/>
          <w:b/>
          <w:sz w:val="24"/>
          <w:szCs w:val="24"/>
        </w:rPr>
        <w:t>, 201</w:t>
      </w:r>
      <w:r w:rsidR="00D33E1A" w:rsidRPr="00F34DDA">
        <w:rPr>
          <w:rFonts w:ascii="Arial" w:hAnsi="Arial" w:cs="Arial"/>
          <w:b/>
          <w:sz w:val="24"/>
          <w:szCs w:val="24"/>
        </w:rPr>
        <w:t>7</w:t>
      </w:r>
      <w:r w:rsidR="003D5A13" w:rsidRPr="00F34DDA">
        <w:rPr>
          <w:rFonts w:ascii="Arial" w:hAnsi="Arial" w:cs="Arial"/>
          <w:b/>
          <w:sz w:val="24"/>
          <w:szCs w:val="24"/>
        </w:rPr>
        <w:t xml:space="preserve"> </w:t>
      </w:r>
    </w:p>
    <w:p w:rsidR="00C6170F" w:rsidRPr="00F34DDA"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F34DDA">
        <w:rPr>
          <w:rFonts w:ascii="Arial" w:hAnsi="Arial" w:cs="Arial"/>
          <w:b/>
          <w:sz w:val="24"/>
          <w:szCs w:val="24"/>
        </w:rPr>
        <w:t>Participation [by regions]</w:t>
      </w:r>
      <w:r w:rsidR="00C6170F" w:rsidRPr="00F34DDA">
        <w:rPr>
          <w:rFonts w:ascii="Arial" w:hAnsi="Arial" w:cs="Arial"/>
          <w:b/>
          <w:sz w:val="24"/>
          <w:szCs w:val="24"/>
        </w:rPr>
        <w:t>:</w:t>
      </w:r>
    </w:p>
    <w:p w:rsidR="002C0EDA" w:rsidRPr="00F34DDA" w:rsidRDefault="002C0EDA"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ab/>
      </w:r>
    </w:p>
    <w:p w:rsidR="00866001" w:rsidRPr="00F34DDA"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1:</w:t>
      </w:r>
      <w:r w:rsidRPr="00F34DDA">
        <w:rPr>
          <w:rFonts w:ascii="Arial" w:hAnsi="Arial" w:cs="Arial"/>
          <w:sz w:val="24"/>
          <w:szCs w:val="24"/>
        </w:rPr>
        <w:tab/>
        <w:t>Sara Johnson – NH</w:t>
      </w:r>
    </w:p>
    <w:p w:rsidR="00BB47A1" w:rsidRPr="00F34DDA" w:rsidRDefault="00C6170F"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3:</w:t>
      </w:r>
      <w:r w:rsidR="009D3DA0" w:rsidRPr="00F34DDA">
        <w:rPr>
          <w:rFonts w:ascii="Arial" w:hAnsi="Arial" w:cs="Arial"/>
          <w:sz w:val="24"/>
          <w:szCs w:val="24"/>
        </w:rPr>
        <w:tab/>
      </w:r>
      <w:r w:rsidR="00DA708B" w:rsidRPr="00F34DDA">
        <w:rPr>
          <w:rFonts w:ascii="Arial" w:hAnsi="Arial" w:cs="Arial"/>
          <w:sz w:val="24"/>
          <w:szCs w:val="24"/>
        </w:rPr>
        <w:t>Carrie Wintersteen</w:t>
      </w:r>
      <w:r w:rsidR="002C0EDA" w:rsidRPr="00F34DDA">
        <w:rPr>
          <w:rFonts w:ascii="Arial" w:hAnsi="Arial" w:cs="Arial"/>
          <w:sz w:val="24"/>
          <w:szCs w:val="24"/>
        </w:rPr>
        <w:t>, Jeremy Hancher</w:t>
      </w:r>
      <w:r w:rsidR="00703999" w:rsidRPr="00F34DDA">
        <w:rPr>
          <w:rFonts w:ascii="Arial" w:hAnsi="Arial" w:cs="Arial"/>
          <w:sz w:val="24"/>
          <w:szCs w:val="24"/>
        </w:rPr>
        <w:t xml:space="preserve"> &amp; </w:t>
      </w:r>
      <w:r w:rsidR="00ED4897" w:rsidRPr="00F34DDA">
        <w:rPr>
          <w:rFonts w:ascii="Arial" w:hAnsi="Arial" w:cs="Arial"/>
          <w:sz w:val="24"/>
          <w:szCs w:val="24"/>
        </w:rPr>
        <w:t>Lee Ann Briggs</w:t>
      </w:r>
      <w:r w:rsidR="00703999" w:rsidRPr="00F34DDA">
        <w:rPr>
          <w:rFonts w:ascii="Arial" w:hAnsi="Arial" w:cs="Arial"/>
          <w:sz w:val="24"/>
          <w:szCs w:val="24"/>
        </w:rPr>
        <w:t xml:space="preserve"> </w:t>
      </w:r>
      <w:r w:rsidR="00236B87" w:rsidRPr="00F34DDA">
        <w:rPr>
          <w:rFonts w:ascii="Arial" w:hAnsi="Arial" w:cs="Arial"/>
          <w:sz w:val="24"/>
          <w:szCs w:val="24"/>
        </w:rPr>
        <w:t>–</w:t>
      </w:r>
      <w:r w:rsidR="00E55AB0" w:rsidRPr="00F34DDA">
        <w:rPr>
          <w:rFonts w:ascii="Arial" w:hAnsi="Arial" w:cs="Arial"/>
          <w:sz w:val="24"/>
          <w:szCs w:val="24"/>
        </w:rPr>
        <w:t xml:space="preserve"> PA</w:t>
      </w:r>
    </w:p>
    <w:p w:rsidR="00866001" w:rsidRPr="00F34DDA"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4:</w:t>
      </w:r>
      <w:r w:rsidRPr="00F34DDA">
        <w:rPr>
          <w:rFonts w:ascii="Arial" w:hAnsi="Arial" w:cs="Arial"/>
          <w:sz w:val="24"/>
          <w:szCs w:val="24"/>
        </w:rPr>
        <w:tab/>
        <w:t xml:space="preserve">Tony Pendola – NC; </w:t>
      </w:r>
      <w:r w:rsidR="002C0EDA" w:rsidRPr="00F34DDA">
        <w:rPr>
          <w:rFonts w:ascii="Arial" w:hAnsi="Arial" w:cs="Arial"/>
          <w:sz w:val="24"/>
          <w:szCs w:val="24"/>
        </w:rPr>
        <w:t xml:space="preserve">Jessica Dalton – FL; Melissa Collier &amp; </w:t>
      </w:r>
      <w:proofErr w:type="spellStart"/>
      <w:r w:rsidR="002C0EDA" w:rsidRPr="00F34DDA">
        <w:rPr>
          <w:rFonts w:ascii="Arial" w:hAnsi="Arial" w:cs="Arial"/>
          <w:sz w:val="24"/>
          <w:szCs w:val="24"/>
        </w:rPr>
        <w:t>Trayce</w:t>
      </w:r>
      <w:proofErr w:type="spellEnd"/>
      <w:r w:rsidR="002C0EDA" w:rsidRPr="00F34DDA">
        <w:rPr>
          <w:rFonts w:ascii="Arial" w:hAnsi="Arial" w:cs="Arial"/>
          <w:sz w:val="24"/>
          <w:szCs w:val="24"/>
        </w:rPr>
        <w:t xml:space="preserve"> Moore Thomas - MS</w:t>
      </w:r>
    </w:p>
    <w:p w:rsidR="001224FD" w:rsidRPr="00F34DDA" w:rsidRDefault="00C6170F"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sidRPr="00F34DDA">
        <w:rPr>
          <w:rFonts w:ascii="Arial" w:hAnsi="Arial" w:cs="Arial"/>
          <w:sz w:val="24"/>
          <w:szCs w:val="24"/>
        </w:rPr>
        <w:t>5:</w:t>
      </w:r>
      <w:r w:rsidR="009D3DA0" w:rsidRPr="00F34DDA">
        <w:rPr>
          <w:rFonts w:ascii="Arial" w:hAnsi="Arial" w:cs="Arial"/>
          <w:sz w:val="24"/>
          <w:szCs w:val="24"/>
        </w:rPr>
        <w:tab/>
      </w:r>
      <w:r w:rsidR="003D5A13" w:rsidRPr="00F34DDA">
        <w:rPr>
          <w:rFonts w:ascii="Arial" w:hAnsi="Arial" w:cs="Arial"/>
          <w:sz w:val="24"/>
          <w:szCs w:val="24"/>
        </w:rPr>
        <w:t>Brent Goetz</w:t>
      </w:r>
      <w:r w:rsidR="00866001" w:rsidRPr="00F34DDA">
        <w:rPr>
          <w:rFonts w:ascii="Arial" w:hAnsi="Arial" w:cs="Arial"/>
          <w:sz w:val="24"/>
          <w:szCs w:val="24"/>
        </w:rPr>
        <w:t xml:space="preserve"> &amp; Todd Nein</w:t>
      </w:r>
      <w:r w:rsidR="00D17D5D" w:rsidRPr="00F34DDA">
        <w:rPr>
          <w:rFonts w:ascii="Arial" w:hAnsi="Arial" w:cs="Arial"/>
          <w:sz w:val="24"/>
          <w:szCs w:val="24"/>
        </w:rPr>
        <w:t xml:space="preserve"> </w:t>
      </w:r>
      <w:r w:rsidR="008C7167" w:rsidRPr="00F34DDA">
        <w:rPr>
          <w:rFonts w:ascii="Arial" w:hAnsi="Arial" w:cs="Arial"/>
          <w:sz w:val="24"/>
          <w:szCs w:val="24"/>
        </w:rPr>
        <w:t>– OH</w:t>
      </w:r>
      <w:r w:rsidR="003D5A13" w:rsidRPr="00F34DDA">
        <w:rPr>
          <w:rFonts w:ascii="Arial" w:hAnsi="Arial" w:cs="Arial"/>
          <w:sz w:val="24"/>
          <w:szCs w:val="24"/>
        </w:rPr>
        <w:t xml:space="preserve">; </w:t>
      </w:r>
      <w:r w:rsidR="002C0EDA" w:rsidRPr="00F34DDA">
        <w:rPr>
          <w:rFonts w:ascii="Arial" w:hAnsi="Arial" w:cs="Arial"/>
          <w:sz w:val="24"/>
          <w:szCs w:val="24"/>
        </w:rPr>
        <w:t>Renee Bashel</w:t>
      </w:r>
      <w:r w:rsidR="00866001" w:rsidRPr="00F34DDA">
        <w:rPr>
          <w:rFonts w:ascii="Arial" w:hAnsi="Arial" w:cs="Arial"/>
          <w:sz w:val="24"/>
          <w:szCs w:val="24"/>
        </w:rPr>
        <w:t xml:space="preserve"> &amp; </w:t>
      </w:r>
      <w:r w:rsidR="00804D18" w:rsidRPr="00F34DDA">
        <w:rPr>
          <w:rFonts w:ascii="Arial" w:hAnsi="Arial" w:cs="Arial"/>
          <w:sz w:val="24"/>
          <w:szCs w:val="24"/>
        </w:rPr>
        <w:t>Lisa Ashenbrenner Hunt</w:t>
      </w:r>
      <w:r w:rsidR="00ED4897" w:rsidRPr="00F34DDA">
        <w:rPr>
          <w:rFonts w:ascii="Arial" w:hAnsi="Arial" w:cs="Arial"/>
          <w:sz w:val="24"/>
          <w:szCs w:val="24"/>
        </w:rPr>
        <w:t xml:space="preserve"> </w:t>
      </w:r>
      <w:r w:rsidR="00866001" w:rsidRPr="00F34DDA">
        <w:rPr>
          <w:rFonts w:ascii="Arial" w:hAnsi="Arial" w:cs="Arial"/>
          <w:sz w:val="24"/>
          <w:szCs w:val="24"/>
        </w:rPr>
        <w:t>–</w:t>
      </w:r>
      <w:r w:rsidR="00804D18" w:rsidRPr="00F34DDA">
        <w:rPr>
          <w:rFonts w:ascii="Arial" w:hAnsi="Arial" w:cs="Arial"/>
          <w:sz w:val="24"/>
          <w:szCs w:val="24"/>
        </w:rPr>
        <w:t xml:space="preserve"> WI</w:t>
      </w:r>
      <w:r w:rsidR="002C0EDA" w:rsidRPr="00F34DDA">
        <w:rPr>
          <w:rFonts w:ascii="Arial" w:hAnsi="Arial" w:cs="Arial"/>
          <w:sz w:val="24"/>
          <w:szCs w:val="24"/>
        </w:rPr>
        <w:t xml:space="preserve">; Jim Dodson, Ed Clements, Tammy Haug, </w:t>
      </w:r>
      <w:r w:rsidR="00DA1259">
        <w:rPr>
          <w:rFonts w:ascii="Arial" w:hAnsi="Arial" w:cs="Arial"/>
          <w:sz w:val="24"/>
          <w:szCs w:val="24"/>
        </w:rPr>
        <w:t xml:space="preserve">Quentin Gilbert, </w:t>
      </w:r>
      <w:r w:rsidR="002C0EDA" w:rsidRPr="00F34DDA">
        <w:rPr>
          <w:rFonts w:ascii="Arial" w:hAnsi="Arial" w:cs="Arial"/>
          <w:sz w:val="24"/>
          <w:szCs w:val="24"/>
        </w:rPr>
        <w:t xml:space="preserve">Chris </w:t>
      </w:r>
      <w:proofErr w:type="spellStart"/>
      <w:r w:rsidR="002C0EDA" w:rsidRPr="00F34DDA">
        <w:rPr>
          <w:rFonts w:ascii="Arial" w:hAnsi="Arial" w:cs="Arial"/>
          <w:sz w:val="24"/>
          <w:szCs w:val="24"/>
        </w:rPr>
        <w:t>Cissell</w:t>
      </w:r>
      <w:proofErr w:type="spellEnd"/>
      <w:r w:rsidR="002C0EDA" w:rsidRPr="00F34DDA">
        <w:rPr>
          <w:rFonts w:ascii="Arial" w:hAnsi="Arial" w:cs="Arial"/>
          <w:sz w:val="24"/>
          <w:szCs w:val="24"/>
        </w:rPr>
        <w:t xml:space="preserve"> &amp; Mark Stoddard</w:t>
      </w:r>
    </w:p>
    <w:p w:rsidR="00866001" w:rsidRPr="00F34DDA" w:rsidRDefault="00866001"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sidRPr="00F34DDA">
        <w:rPr>
          <w:rFonts w:ascii="Arial" w:hAnsi="Arial" w:cs="Arial"/>
          <w:sz w:val="24"/>
          <w:szCs w:val="24"/>
        </w:rPr>
        <w:t>6:</w:t>
      </w:r>
      <w:r w:rsidRPr="00F34DDA">
        <w:rPr>
          <w:rFonts w:ascii="Arial" w:hAnsi="Arial" w:cs="Arial"/>
          <w:sz w:val="24"/>
          <w:szCs w:val="24"/>
        </w:rPr>
        <w:tab/>
        <w:t>Dianne Wilkins</w:t>
      </w:r>
      <w:r w:rsidR="002C0EDA" w:rsidRPr="00F34DDA">
        <w:rPr>
          <w:rFonts w:ascii="Arial" w:hAnsi="Arial" w:cs="Arial"/>
          <w:sz w:val="24"/>
          <w:szCs w:val="24"/>
        </w:rPr>
        <w:t xml:space="preserve"> &amp; Lloyd Kirk</w:t>
      </w:r>
      <w:r w:rsidRPr="00F34DDA">
        <w:rPr>
          <w:rFonts w:ascii="Arial" w:hAnsi="Arial" w:cs="Arial"/>
          <w:sz w:val="24"/>
          <w:szCs w:val="24"/>
        </w:rPr>
        <w:t xml:space="preserve"> - OK</w:t>
      </w:r>
    </w:p>
    <w:p w:rsidR="00D427FE" w:rsidRPr="00F34DDA" w:rsidRDefault="00D427FE"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7:</w:t>
      </w:r>
      <w:r w:rsidRPr="00F34DDA">
        <w:rPr>
          <w:rFonts w:ascii="Arial" w:hAnsi="Arial" w:cs="Arial"/>
          <w:sz w:val="24"/>
          <w:szCs w:val="24"/>
        </w:rPr>
        <w:tab/>
      </w:r>
      <w:r w:rsidR="002C0EDA" w:rsidRPr="00F34DDA">
        <w:rPr>
          <w:rFonts w:ascii="Arial" w:hAnsi="Arial" w:cs="Arial"/>
          <w:sz w:val="24"/>
          <w:szCs w:val="24"/>
        </w:rPr>
        <w:t xml:space="preserve">Barb Goode &amp; </w:t>
      </w:r>
      <w:r w:rsidR="00482CD6" w:rsidRPr="00F34DDA">
        <w:rPr>
          <w:rFonts w:ascii="Arial" w:hAnsi="Arial" w:cs="Arial"/>
          <w:sz w:val="24"/>
          <w:szCs w:val="24"/>
        </w:rPr>
        <w:t xml:space="preserve">Lynelle Ladd </w:t>
      </w:r>
      <w:r w:rsidRPr="00F34DDA">
        <w:rPr>
          <w:rFonts w:ascii="Arial" w:hAnsi="Arial" w:cs="Arial"/>
          <w:sz w:val="24"/>
          <w:szCs w:val="24"/>
        </w:rPr>
        <w:t>– KS</w:t>
      </w:r>
    </w:p>
    <w:p w:rsidR="0053121C" w:rsidRDefault="00D17D5D" w:rsidP="00C7499E">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F34DDA">
        <w:rPr>
          <w:rFonts w:ascii="Arial" w:hAnsi="Arial" w:cs="Arial"/>
          <w:sz w:val="24"/>
          <w:szCs w:val="24"/>
        </w:rPr>
        <w:t>9</w:t>
      </w:r>
      <w:r w:rsidR="00E70ED2" w:rsidRPr="00F34DDA">
        <w:rPr>
          <w:rFonts w:ascii="Arial" w:hAnsi="Arial" w:cs="Arial"/>
          <w:sz w:val="24"/>
          <w:szCs w:val="24"/>
        </w:rPr>
        <w:t>:</w:t>
      </w:r>
      <w:r w:rsidR="00E70ED2" w:rsidRPr="00F34DDA">
        <w:rPr>
          <w:rFonts w:ascii="Arial" w:hAnsi="Arial" w:cs="Arial"/>
          <w:sz w:val="24"/>
          <w:szCs w:val="24"/>
        </w:rPr>
        <w:tab/>
      </w:r>
      <w:r w:rsidRPr="00F34DDA">
        <w:rPr>
          <w:rFonts w:ascii="Arial" w:hAnsi="Arial" w:cs="Arial"/>
          <w:sz w:val="24"/>
          <w:szCs w:val="24"/>
        </w:rPr>
        <w:t>Jenna Latt</w:t>
      </w:r>
      <w:r w:rsidR="00E70ED2" w:rsidRPr="00F34DDA">
        <w:rPr>
          <w:rFonts w:ascii="Arial" w:hAnsi="Arial" w:cs="Arial"/>
          <w:sz w:val="24"/>
          <w:szCs w:val="24"/>
        </w:rPr>
        <w:t xml:space="preserve"> – </w:t>
      </w:r>
      <w:bookmarkStart w:id="0" w:name="OLE_LINK3"/>
      <w:bookmarkStart w:id="1" w:name="OLE_LINK4"/>
      <w:bookmarkStart w:id="2" w:name="OLE_LINK1"/>
      <w:bookmarkStart w:id="3" w:name="OLE_LINK2"/>
      <w:r w:rsidRPr="00F34DDA">
        <w:rPr>
          <w:rFonts w:ascii="Arial" w:hAnsi="Arial" w:cs="Arial"/>
          <w:sz w:val="24"/>
          <w:szCs w:val="24"/>
        </w:rPr>
        <w:t>CA</w:t>
      </w:r>
      <w:r w:rsidR="002C0EDA" w:rsidRPr="00F34DDA">
        <w:rPr>
          <w:rFonts w:ascii="Arial" w:hAnsi="Arial" w:cs="Arial"/>
          <w:sz w:val="24"/>
          <w:szCs w:val="24"/>
        </w:rPr>
        <w:t>; Kale Walch - AZ</w:t>
      </w:r>
    </w:p>
    <w:p w:rsidR="00994E1B" w:rsidRPr="00F34DDA" w:rsidRDefault="00994E1B" w:rsidP="00C7499E">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proofErr w:type="gramStart"/>
      <w:r>
        <w:rPr>
          <w:rFonts w:ascii="Arial" w:hAnsi="Arial" w:cs="Arial"/>
          <w:sz w:val="24"/>
          <w:szCs w:val="24"/>
        </w:rPr>
        <w:t>?:</w:t>
      </w:r>
      <w:r>
        <w:rPr>
          <w:rFonts w:ascii="Arial" w:hAnsi="Arial" w:cs="Arial"/>
          <w:sz w:val="24"/>
          <w:szCs w:val="24"/>
        </w:rPr>
        <w:tab/>
      </w:r>
      <w:proofErr w:type="gramEnd"/>
      <w:r>
        <w:rPr>
          <w:rFonts w:ascii="Arial" w:hAnsi="Arial" w:cs="Arial"/>
          <w:sz w:val="24"/>
          <w:szCs w:val="24"/>
        </w:rPr>
        <w:t>Jennifer Schmidt</w:t>
      </w:r>
    </w:p>
    <w:p w:rsidR="0053121C" w:rsidRPr="00F34DDA"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rsidR="000A0F9E" w:rsidRPr="00F34DDA" w:rsidRDefault="002C0EDA"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sidRPr="00F34DDA">
        <w:rPr>
          <w:rFonts w:ascii="Arial" w:hAnsi="Arial" w:cs="Arial"/>
          <w:b/>
          <w:bCs/>
          <w:sz w:val="24"/>
          <w:szCs w:val="24"/>
        </w:rPr>
        <w:t xml:space="preserve">September </w:t>
      </w:r>
      <w:r w:rsidR="000D39D2" w:rsidRPr="00F34DDA">
        <w:rPr>
          <w:rFonts w:ascii="Arial" w:hAnsi="Arial" w:cs="Arial"/>
          <w:b/>
          <w:bCs/>
          <w:sz w:val="24"/>
          <w:szCs w:val="24"/>
        </w:rPr>
        <w:t>minutes</w:t>
      </w:r>
      <w:r w:rsidR="00A37FFC" w:rsidRPr="00F34DDA">
        <w:rPr>
          <w:rFonts w:ascii="Arial" w:hAnsi="Arial" w:cs="Arial"/>
          <w:b/>
          <w:bCs/>
          <w:sz w:val="24"/>
          <w:szCs w:val="24"/>
        </w:rPr>
        <w:t>:</w:t>
      </w:r>
      <w:r w:rsidR="00A37FFC" w:rsidRPr="00F34DDA">
        <w:rPr>
          <w:rFonts w:ascii="Arial" w:hAnsi="Arial" w:cs="Arial"/>
          <w:bCs/>
          <w:sz w:val="24"/>
          <w:szCs w:val="24"/>
        </w:rPr>
        <w:t xml:space="preserve">  </w:t>
      </w:r>
      <w:r w:rsidR="0055288A" w:rsidRPr="00F34DDA">
        <w:rPr>
          <w:rFonts w:ascii="Arial" w:hAnsi="Arial" w:cs="Arial"/>
          <w:bCs/>
          <w:sz w:val="24"/>
          <w:szCs w:val="24"/>
        </w:rPr>
        <w:t>approved as is</w:t>
      </w:r>
    </w:p>
    <w:p w:rsidR="0009264C" w:rsidRPr="00F34DDA"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p w:rsidR="00F34DDA" w:rsidRPr="00F34DDA" w:rsidRDefault="00F34DDA" w:rsidP="00F34DDA">
      <w:pPr>
        <w:spacing w:after="0"/>
        <w:jc w:val="center"/>
        <w:rPr>
          <w:rFonts w:ascii="Arial" w:hAnsi="Arial" w:cs="Arial"/>
          <w:b/>
          <w:bCs/>
          <w:sz w:val="32"/>
          <w:szCs w:val="32"/>
        </w:rPr>
      </w:pPr>
      <w:r w:rsidRPr="00F34DDA">
        <w:rPr>
          <w:rFonts w:ascii="Arial" w:hAnsi="Arial" w:cs="Arial"/>
          <w:b/>
          <w:bCs/>
          <w:sz w:val="32"/>
          <w:szCs w:val="32"/>
        </w:rPr>
        <w:t>Stationary Engines: 40 CFR 63, Subpart 4Z/40 CFR 60, Subparts 4I/4J</w:t>
      </w:r>
      <w:bookmarkStart w:id="4" w:name="_GoBack"/>
      <w:bookmarkEnd w:id="4"/>
      <w:r w:rsidRPr="00F34DDA">
        <w:rPr>
          <w:rFonts w:ascii="Arial" w:hAnsi="Arial" w:cs="Arial"/>
          <w:b/>
          <w:bCs/>
          <w:sz w:val="32"/>
          <w:szCs w:val="32"/>
        </w:rPr>
        <w:t xml:space="preserve">  RICE/NESHAP/NSPS – Lessons learned and moving forward</w:t>
      </w:r>
      <w:r w:rsidR="00DE52AE">
        <w:rPr>
          <w:rFonts w:ascii="Arial" w:hAnsi="Arial" w:cs="Arial"/>
          <w:b/>
          <w:bCs/>
          <w:sz w:val="32"/>
          <w:szCs w:val="32"/>
        </w:rPr>
        <w:t xml:space="preserve"> *</w:t>
      </w:r>
    </w:p>
    <w:p w:rsidR="00DA17BC" w:rsidRPr="00F34DDA" w:rsidRDefault="00F34DDA" w:rsidP="00F34DDA">
      <w:pPr>
        <w:spacing w:after="0"/>
        <w:jc w:val="center"/>
        <w:rPr>
          <w:rFonts w:ascii="Arial" w:hAnsi="Arial" w:cs="Arial"/>
          <w:b/>
          <w:bCs/>
          <w:sz w:val="20"/>
          <w:szCs w:val="20"/>
        </w:rPr>
      </w:pPr>
      <w:r w:rsidRPr="00F34DDA">
        <w:rPr>
          <w:rFonts w:ascii="Arial" w:hAnsi="Arial" w:cs="Arial"/>
          <w:bCs/>
          <w:sz w:val="20"/>
          <w:szCs w:val="20"/>
        </w:rPr>
        <w:t>Melanie King, EPA OAQPS &amp; Sara Ayres, EPA OECA; Introductions by Barb Goode, Kansas State University</w:t>
      </w:r>
    </w:p>
    <w:p w:rsidR="00A257D9" w:rsidRPr="00F34DDA" w:rsidRDefault="00A257D9" w:rsidP="00E053B7">
      <w:pPr>
        <w:tabs>
          <w:tab w:val="left" w:pos="360"/>
          <w:tab w:val="left" w:pos="720"/>
          <w:tab w:val="left" w:pos="1080"/>
          <w:tab w:val="left" w:pos="1440"/>
          <w:tab w:val="left" w:pos="1800"/>
          <w:tab w:val="left" w:pos="2160"/>
          <w:tab w:val="left" w:pos="2520"/>
          <w:tab w:val="left" w:pos="2880"/>
          <w:tab w:val="left" w:pos="8460"/>
        </w:tabs>
        <w:spacing w:after="0"/>
        <w:jc w:val="center"/>
        <w:rPr>
          <w:rFonts w:ascii="Arial" w:hAnsi="Arial" w:cs="Arial"/>
          <w:b/>
          <w:color w:val="000000"/>
          <w:sz w:val="24"/>
          <w:szCs w:val="24"/>
        </w:rPr>
      </w:pPr>
    </w:p>
    <w:p w:rsidR="00DE52AE" w:rsidRDefault="00BF5F39" w:rsidP="00482CD6">
      <w:pPr>
        <w:rPr>
          <w:rFonts w:ascii="Arial" w:hAnsi="Arial" w:cs="Arial"/>
          <w:sz w:val="24"/>
          <w:szCs w:val="24"/>
        </w:rPr>
      </w:pPr>
      <w:r>
        <w:rPr>
          <w:rFonts w:ascii="Arial" w:hAnsi="Arial" w:cs="Arial"/>
          <w:sz w:val="24"/>
          <w:szCs w:val="24"/>
        </w:rPr>
        <w:t>A comparison of requirements for stationary non-emergency engines located at an area source</w:t>
      </w:r>
      <w:r w:rsidR="00F9319C">
        <w:rPr>
          <w:rFonts w:ascii="Arial" w:hAnsi="Arial" w:cs="Arial"/>
          <w:sz w:val="24"/>
          <w:szCs w:val="24"/>
        </w:rPr>
        <w:t xml:space="preserve"> taking into account various parameters was presented</w:t>
      </w:r>
      <w:r w:rsidR="001678C8">
        <w:rPr>
          <w:rFonts w:ascii="Arial" w:hAnsi="Arial" w:cs="Arial"/>
          <w:sz w:val="24"/>
          <w:szCs w:val="24"/>
        </w:rPr>
        <w:t xml:space="preserve"> such as installation date (prior to June 12, 2006), reconstruction (cost exceeds 50% or 75% of the cost of a comparable engine), type of fuel, capacity ( greater than 25, 175, 300 or 500 HP).</w:t>
      </w:r>
    </w:p>
    <w:p w:rsidR="00CD790E" w:rsidRDefault="00CD790E" w:rsidP="00482CD6">
      <w:pPr>
        <w:rPr>
          <w:rFonts w:ascii="Arial" w:hAnsi="Arial" w:cs="Arial"/>
          <w:sz w:val="24"/>
          <w:szCs w:val="24"/>
        </w:rPr>
      </w:pPr>
      <w:r>
        <w:rPr>
          <w:rFonts w:ascii="Arial" w:hAnsi="Arial" w:cs="Arial"/>
          <w:sz w:val="24"/>
          <w:szCs w:val="24"/>
        </w:rPr>
        <w:t xml:space="preserve">As an example, a compression ignition engine installed prior to June 12, 2006 and reconstructed afterwards such that the cost of reconstruction amount to half up to three-quarters of the cost of a comparable engine, that engine would need to meet the Tier 1 emission standards for </w:t>
      </w:r>
      <w:proofErr w:type="spellStart"/>
      <w:r>
        <w:rPr>
          <w:rFonts w:ascii="Arial" w:hAnsi="Arial" w:cs="Arial"/>
          <w:sz w:val="24"/>
          <w:szCs w:val="24"/>
        </w:rPr>
        <w:t>NMHC+NOx</w:t>
      </w:r>
      <w:proofErr w:type="spellEnd"/>
      <w:r>
        <w:rPr>
          <w:rFonts w:ascii="Arial" w:hAnsi="Arial" w:cs="Arial"/>
          <w:sz w:val="24"/>
          <w:szCs w:val="24"/>
        </w:rPr>
        <w:t>, CO and PM.  If the cost were to exceed three-quarters, that engine may need to adhere to Tier 4 emission standards depending on the year of reconstruction.</w:t>
      </w:r>
    </w:p>
    <w:p w:rsidR="001678C8" w:rsidRDefault="001678C8" w:rsidP="00482CD6">
      <w:pPr>
        <w:rPr>
          <w:rFonts w:ascii="Arial" w:hAnsi="Arial" w:cs="Arial"/>
          <w:sz w:val="24"/>
          <w:szCs w:val="24"/>
        </w:rPr>
      </w:pPr>
      <w:r>
        <w:rPr>
          <w:rFonts w:ascii="Arial" w:hAnsi="Arial" w:cs="Arial"/>
          <w:sz w:val="24"/>
          <w:szCs w:val="24"/>
        </w:rPr>
        <w:t>Obligations can be as simple as the operation &amp; maintenance in accordance with manufacturer’s instructions along with records of such or as complex as the installation of emission controls along with periodic performance testing.</w:t>
      </w:r>
    </w:p>
    <w:p w:rsidR="00DE52AE" w:rsidRDefault="00080E1A" w:rsidP="00482CD6">
      <w:pPr>
        <w:rPr>
          <w:rFonts w:ascii="Arial" w:hAnsi="Arial" w:cs="Arial"/>
          <w:sz w:val="24"/>
          <w:szCs w:val="24"/>
        </w:rPr>
      </w:pPr>
      <w:r>
        <w:rPr>
          <w:rFonts w:ascii="Arial" w:hAnsi="Arial" w:cs="Arial"/>
          <w:sz w:val="24"/>
          <w:szCs w:val="24"/>
        </w:rPr>
        <w:t xml:space="preserve">Engines </w:t>
      </w:r>
      <w:r w:rsidR="00FA7B6D">
        <w:rPr>
          <w:rFonts w:ascii="Arial" w:hAnsi="Arial" w:cs="Arial"/>
          <w:sz w:val="24"/>
          <w:szCs w:val="24"/>
        </w:rPr>
        <w:t xml:space="preserve">that are portable or transportable, meaning </w:t>
      </w:r>
      <w:r>
        <w:rPr>
          <w:rFonts w:ascii="Arial" w:hAnsi="Arial" w:cs="Arial"/>
          <w:sz w:val="24"/>
          <w:szCs w:val="24"/>
        </w:rPr>
        <w:t>capable of being carried or moved from one location to another</w:t>
      </w:r>
      <w:r w:rsidR="00FA7B6D">
        <w:rPr>
          <w:rFonts w:ascii="Arial" w:hAnsi="Arial" w:cs="Arial"/>
          <w:sz w:val="24"/>
          <w:szCs w:val="24"/>
        </w:rPr>
        <w:t>,</w:t>
      </w:r>
      <w:r>
        <w:rPr>
          <w:rFonts w:ascii="Arial" w:hAnsi="Arial" w:cs="Arial"/>
          <w:sz w:val="24"/>
          <w:szCs w:val="24"/>
        </w:rPr>
        <w:t xml:space="preserve"> are mobile</w:t>
      </w:r>
      <w:r w:rsidR="003E0060">
        <w:rPr>
          <w:rFonts w:ascii="Arial" w:hAnsi="Arial" w:cs="Arial"/>
          <w:sz w:val="24"/>
          <w:szCs w:val="24"/>
        </w:rPr>
        <w:t xml:space="preserve"> unless they remain at the same location for more than 12 months</w:t>
      </w:r>
      <w:r>
        <w:rPr>
          <w:rFonts w:ascii="Arial" w:hAnsi="Arial" w:cs="Arial"/>
          <w:sz w:val="24"/>
          <w:szCs w:val="24"/>
        </w:rPr>
        <w:t xml:space="preserve">.  A location is defined as “any single site at a building, structure, </w:t>
      </w:r>
      <w:r>
        <w:rPr>
          <w:rFonts w:ascii="Arial" w:hAnsi="Arial" w:cs="Arial"/>
          <w:sz w:val="24"/>
          <w:szCs w:val="24"/>
        </w:rPr>
        <w:lastRenderedPageBreak/>
        <w:t>facility or installation.”</w:t>
      </w:r>
      <w:r w:rsidR="009B353C">
        <w:rPr>
          <w:rFonts w:ascii="Arial" w:hAnsi="Arial" w:cs="Arial"/>
          <w:sz w:val="24"/>
          <w:szCs w:val="24"/>
        </w:rPr>
        <w:t xml:space="preserve">  </w:t>
      </w:r>
      <w:r w:rsidR="00FA7B6D">
        <w:rPr>
          <w:rFonts w:ascii="Arial" w:hAnsi="Arial" w:cs="Arial"/>
          <w:sz w:val="24"/>
          <w:szCs w:val="24"/>
        </w:rPr>
        <w:t xml:space="preserve">A portable </w:t>
      </w:r>
      <w:r w:rsidR="009B353C">
        <w:rPr>
          <w:rFonts w:ascii="Arial" w:hAnsi="Arial" w:cs="Arial"/>
          <w:sz w:val="24"/>
          <w:szCs w:val="24"/>
        </w:rPr>
        <w:t>engine that remains stationary greater than 12 months or a seasonal operating time frame is regulated as a stationary engine.</w:t>
      </w:r>
    </w:p>
    <w:p w:rsidR="004236CD" w:rsidRDefault="004236CD" w:rsidP="00482CD6">
      <w:pPr>
        <w:rPr>
          <w:rFonts w:ascii="Arial" w:hAnsi="Arial" w:cs="Arial"/>
          <w:sz w:val="24"/>
          <w:szCs w:val="24"/>
        </w:rPr>
      </w:pPr>
      <w:r>
        <w:rPr>
          <w:rFonts w:ascii="Arial" w:hAnsi="Arial" w:cs="Arial"/>
          <w:sz w:val="24"/>
          <w:szCs w:val="24"/>
        </w:rPr>
        <w:t xml:space="preserve">A question was raised as to the status of an engine stored in a warehouse or maintenance shop for greater than 12 months which may be moved infrequently and used as an engine. </w:t>
      </w:r>
      <w:r w:rsidR="00A925C4">
        <w:rPr>
          <w:rFonts w:ascii="Arial" w:hAnsi="Arial" w:cs="Arial"/>
          <w:sz w:val="24"/>
          <w:szCs w:val="24"/>
        </w:rPr>
        <w:t xml:space="preserve">The EPA has previously determined that a portable engine that was stored in one location and not used for greater than 12 months could </w:t>
      </w:r>
      <w:r>
        <w:rPr>
          <w:rFonts w:ascii="Arial" w:hAnsi="Arial" w:cs="Arial"/>
          <w:sz w:val="24"/>
          <w:szCs w:val="24"/>
        </w:rPr>
        <w:t>still be considered non-stationary.</w:t>
      </w:r>
    </w:p>
    <w:p w:rsidR="00A70267" w:rsidRDefault="00A70267" w:rsidP="00482CD6">
      <w:pPr>
        <w:rPr>
          <w:rFonts w:ascii="Arial" w:hAnsi="Arial" w:cs="Arial"/>
          <w:sz w:val="24"/>
          <w:szCs w:val="24"/>
        </w:rPr>
      </w:pPr>
      <w:r>
        <w:rPr>
          <w:rFonts w:ascii="Arial" w:hAnsi="Arial" w:cs="Arial"/>
          <w:sz w:val="24"/>
          <w:szCs w:val="24"/>
        </w:rPr>
        <w:t xml:space="preserve">The EPA Applicability Determination Index (ADI) was referenced frequently - </w:t>
      </w:r>
      <w:hyperlink r:id="rId7" w:history="1">
        <w:r w:rsidRPr="00165CA2">
          <w:rPr>
            <w:rStyle w:val="Hyperlink"/>
            <w:rFonts w:ascii="Arial" w:hAnsi="Arial" w:cs="Arial"/>
            <w:sz w:val="24"/>
            <w:szCs w:val="24"/>
          </w:rPr>
          <w:t>https://cfpub.epa.gov/adi/</w:t>
        </w:r>
      </w:hyperlink>
      <w:r>
        <w:rPr>
          <w:rFonts w:ascii="Arial" w:hAnsi="Arial" w:cs="Arial"/>
          <w:sz w:val="24"/>
          <w:szCs w:val="24"/>
        </w:rPr>
        <w:t xml:space="preserve"> - some of which are specific to this topic can be found through </w:t>
      </w:r>
      <w:hyperlink r:id="rId8" w:history="1">
        <w:r w:rsidRPr="00165CA2">
          <w:rPr>
            <w:rStyle w:val="Hyperlink"/>
            <w:rFonts w:ascii="Arial" w:hAnsi="Arial" w:cs="Arial"/>
            <w:sz w:val="24"/>
            <w:szCs w:val="24"/>
          </w:rPr>
          <w:t>https://www.epa.gov/stationary-engines</w:t>
        </w:r>
      </w:hyperlink>
      <w:r>
        <w:rPr>
          <w:rFonts w:ascii="Arial" w:hAnsi="Arial" w:cs="Arial"/>
          <w:sz w:val="24"/>
          <w:szCs w:val="24"/>
        </w:rPr>
        <w:t xml:space="preserve">. </w:t>
      </w:r>
    </w:p>
    <w:p w:rsidR="00776C06" w:rsidRDefault="00776C06" w:rsidP="00482CD6">
      <w:pPr>
        <w:rPr>
          <w:rFonts w:ascii="Arial" w:hAnsi="Arial" w:cs="Arial"/>
          <w:sz w:val="24"/>
          <w:szCs w:val="24"/>
        </w:rPr>
      </w:pPr>
      <w:r>
        <w:rPr>
          <w:rFonts w:ascii="Arial" w:hAnsi="Arial" w:cs="Arial"/>
          <w:sz w:val="24"/>
          <w:szCs w:val="24"/>
        </w:rPr>
        <w:t>Stationary engines that operate less than 100 hours per year are considered “Limited use” which is only relevant to engines subject to the RICE regulation – 40 CFR 63, Subpart 4Z.</w:t>
      </w:r>
      <w:r w:rsidR="00F82E51">
        <w:rPr>
          <w:rFonts w:ascii="Arial" w:hAnsi="Arial" w:cs="Arial"/>
          <w:sz w:val="24"/>
          <w:szCs w:val="24"/>
        </w:rPr>
        <w:t xml:space="preserve">  A limited use engine</w:t>
      </w:r>
      <w:r w:rsidR="00DD2EDD">
        <w:rPr>
          <w:rFonts w:ascii="Arial" w:hAnsi="Arial" w:cs="Arial"/>
          <w:sz w:val="24"/>
          <w:szCs w:val="24"/>
        </w:rPr>
        <w:t xml:space="preserve"> </w:t>
      </w:r>
      <w:r w:rsidR="00F82E51">
        <w:rPr>
          <w:rFonts w:ascii="Arial" w:hAnsi="Arial" w:cs="Arial"/>
          <w:sz w:val="24"/>
          <w:szCs w:val="24"/>
        </w:rPr>
        <w:t xml:space="preserve">with a capacity greater than 500 HP located at a major source </w:t>
      </w:r>
      <w:r w:rsidR="00A925C4">
        <w:rPr>
          <w:rFonts w:ascii="Arial" w:hAnsi="Arial" w:cs="Arial"/>
          <w:sz w:val="24"/>
          <w:szCs w:val="24"/>
        </w:rPr>
        <w:t>does not have to meet any requirements under the</w:t>
      </w:r>
      <w:r w:rsidR="00F82E51">
        <w:rPr>
          <w:rFonts w:ascii="Arial" w:hAnsi="Arial" w:cs="Arial"/>
          <w:sz w:val="24"/>
          <w:szCs w:val="24"/>
        </w:rPr>
        <w:t xml:space="preserve"> RICE</w:t>
      </w:r>
      <w:r w:rsidR="00A925C4">
        <w:rPr>
          <w:rFonts w:ascii="Arial" w:hAnsi="Arial" w:cs="Arial"/>
          <w:sz w:val="24"/>
          <w:szCs w:val="24"/>
        </w:rPr>
        <w:t xml:space="preserve"> NESHAP</w:t>
      </w:r>
      <w:r w:rsidR="00F82E51">
        <w:rPr>
          <w:rFonts w:ascii="Arial" w:hAnsi="Arial" w:cs="Arial"/>
          <w:sz w:val="24"/>
          <w:szCs w:val="24"/>
        </w:rPr>
        <w:t xml:space="preserve"> except for the initial notification</w:t>
      </w:r>
      <w:r w:rsidR="00A925C4">
        <w:rPr>
          <w:rFonts w:ascii="Arial" w:hAnsi="Arial" w:cs="Arial"/>
          <w:sz w:val="24"/>
          <w:szCs w:val="24"/>
        </w:rPr>
        <w:t xml:space="preserve"> for new engines</w:t>
      </w:r>
      <w:r w:rsidR="00F82E51">
        <w:rPr>
          <w:rFonts w:ascii="Arial" w:hAnsi="Arial" w:cs="Arial"/>
          <w:sz w:val="24"/>
          <w:szCs w:val="24"/>
        </w:rPr>
        <w:t>.  There are limited benefits for engines less than 500 HP.</w:t>
      </w:r>
    </w:p>
    <w:p w:rsidR="00DE52AE" w:rsidRPr="009E2355" w:rsidRDefault="009E2355" w:rsidP="00482CD6">
      <w:pPr>
        <w:rPr>
          <w:rFonts w:ascii="Arial" w:hAnsi="Arial" w:cs="Arial"/>
          <w:b/>
          <w:sz w:val="24"/>
          <w:szCs w:val="24"/>
        </w:rPr>
      </w:pPr>
      <w:r w:rsidRPr="009E2355">
        <w:rPr>
          <w:rFonts w:ascii="Arial" w:hAnsi="Arial" w:cs="Arial"/>
          <w:b/>
          <w:sz w:val="24"/>
          <w:szCs w:val="24"/>
        </w:rPr>
        <w:t>Regulatory Gap</w:t>
      </w:r>
    </w:p>
    <w:p w:rsidR="00DD2EDD" w:rsidRDefault="00A925C4" w:rsidP="00482CD6">
      <w:pPr>
        <w:rPr>
          <w:rFonts w:ascii="Arial" w:hAnsi="Arial" w:cs="Arial"/>
          <w:sz w:val="24"/>
          <w:szCs w:val="24"/>
        </w:rPr>
      </w:pPr>
      <w:r>
        <w:rPr>
          <w:rFonts w:ascii="Arial" w:hAnsi="Arial" w:cs="Arial"/>
          <w:sz w:val="24"/>
          <w:szCs w:val="24"/>
        </w:rPr>
        <w:t>An example of this issue is a stationary spark ignition engine &lt;500 HP at an area source of HAP that was constructed (as that term is defined in the RICE NESHAP) after June 12, 2006, but manufactured prior to July 1, 2008. The RICE NESHAP requires the engine to comply with the Spark Ignition Engine NSPS, but the engine was manufactured prior to the applicability date specified in the NSPS.  In this scenario, the engine is subject to the RICE NESHAP, but does not have to meet any requirements.</w:t>
      </w:r>
    </w:p>
    <w:p w:rsidR="00AD6DA9" w:rsidRPr="00F56C4E" w:rsidRDefault="00AD6DA9" w:rsidP="00482CD6">
      <w:pPr>
        <w:rPr>
          <w:rFonts w:ascii="Arial" w:hAnsi="Arial" w:cs="Arial"/>
          <w:b/>
          <w:sz w:val="24"/>
          <w:szCs w:val="24"/>
        </w:rPr>
      </w:pPr>
      <w:r w:rsidRPr="00F56C4E">
        <w:rPr>
          <w:rFonts w:ascii="Arial" w:hAnsi="Arial" w:cs="Arial"/>
          <w:b/>
          <w:sz w:val="24"/>
          <w:szCs w:val="24"/>
        </w:rPr>
        <w:t>Certified Emissions Life</w:t>
      </w:r>
    </w:p>
    <w:p w:rsidR="00AD6DA9" w:rsidRDefault="00AD6DA9" w:rsidP="00482CD6">
      <w:pPr>
        <w:rPr>
          <w:rFonts w:ascii="Arial" w:hAnsi="Arial" w:cs="Arial"/>
          <w:sz w:val="24"/>
          <w:szCs w:val="24"/>
        </w:rPr>
      </w:pPr>
      <w:r>
        <w:rPr>
          <w:rFonts w:ascii="Arial" w:hAnsi="Arial" w:cs="Arial"/>
          <w:sz w:val="24"/>
          <w:szCs w:val="24"/>
        </w:rPr>
        <w:t>It is the hours of operation or calendar years which the engine is designed to properly function in terms of reliability and fuel consumption without being remanufactured.</w:t>
      </w:r>
      <w:r w:rsidR="00F56C4E">
        <w:rPr>
          <w:rFonts w:ascii="Arial" w:hAnsi="Arial" w:cs="Arial"/>
          <w:sz w:val="24"/>
          <w:szCs w:val="24"/>
        </w:rPr>
        <w:t xml:space="preserve">  Assuming the engine is operated and maintained in accordance with the manufacturer’s instructions, the engine should maintain its certification over its life.</w:t>
      </w:r>
    </w:p>
    <w:p w:rsidR="00966995" w:rsidRDefault="00966995" w:rsidP="00482CD6">
      <w:pPr>
        <w:rPr>
          <w:rFonts w:ascii="Arial" w:hAnsi="Arial" w:cs="Arial"/>
          <w:sz w:val="24"/>
          <w:szCs w:val="24"/>
        </w:rPr>
      </w:pPr>
      <w:r>
        <w:rPr>
          <w:rFonts w:ascii="Arial" w:hAnsi="Arial" w:cs="Arial"/>
          <w:sz w:val="24"/>
          <w:szCs w:val="24"/>
        </w:rPr>
        <w:t xml:space="preserve">Additionally, </w:t>
      </w:r>
      <w:r w:rsidRPr="00966995">
        <w:rPr>
          <w:rFonts w:cstheme="minorHAnsi"/>
          <w:b/>
          <w:i/>
          <w:sz w:val="24"/>
          <w:szCs w:val="24"/>
        </w:rPr>
        <w:t>“The useful life period is designed to represent the time during which the engine manufacturer is responsible for the engine meeting the emission standards as long as the owner operates the engine according to the manufacturer’s specifications. . . .”</w:t>
      </w:r>
    </w:p>
    <w:p w:rsidR="00DE52AE" w:rsidRPr="00AD6DA9" w:rsidRDefault="00AD6DA9" w:rsidP="00482CD6">
      <w:pPr>
        <w:rPr>
          <w:rFonts w:ascii="Arial" w:hAnsi="Arial" w:cs="Arial"/>
          <w:b/>
          <w:sz w:val="24"/>
          <w:szCs w:val="24"/>
        </w:rPr>
      </w:pPr>
      <w:r w:rsidRPr="00AD6DA9">
        <w:rPr>
          <w:rFonts w:ascii="Arial" w:hAnsi="Arial" w:cs="Arial"/>
          <w:b/>
          <w:sz w:val="24"/>
          <w:szCs w:val="24"/>
        </w:rPr>
        <w:t>Resources</w:t>
      </w:r>
    </w:p>
    <w:p w:rsidR="00D01E87" w:rsidRDefault="00D01E87" w:rsidP="00482CD6">
      <w:pPr>
        <w:rPr>
          <w:rFonts w:ascii="Arial" w:hAnsi="Arial" w:cs="Arial"/>
          <w:sz w:val="24"/>
          <w:szCs w:val="24"/>
        </w:rPr>
      </w:pPr>
      <w:r w:rsidRPr="00D01E87">
        <w:rPr>
          <w:rFonts w:ascii="Arial" w:hAnsi="Arial" w:cs="Arial"/>
          <w:b/>
          <w:sz w:val="24"/>
          <w:szCs w:val="24"/>
        </w:rPr>
        <w:t>RICE Regulation Navigation Tool</w:t>
      </w:r>
      <w:r>
        <w:rPr>
          <w:rFonts w:ascii="Arial" w:hAnsi="Arial" w:cs="Arial"/>
          <w:sz w:val="24"/>
          <w:szCs w:val="24"/>
        </w:rPr>
        <w:t xml:space="preserve"> - </w:t>
      </w:r>
      <w:hyperlink r:id="rId9" w:history="1">
        <w:r w:rsidRPr="00165CA2">
          <w:rPr>
            <w:rStyle w:val="Hyperlink"/>
            <w:rFonts w:ascii="Arial" w:hAnsi="Arial" w:cs="Arial"/>
            <w:sz w:val="24"/>
            <w:szCs w:val="24"/>
          </w:rPr>
          <w:t>https://www3.epa.gov/ttn/atw/rice/output/quiz.html</w:t>
        </w:r>
      </w:hyperlink>
      <w:r>
        <w:rPr>
          <w:rFonts w:ascii="Arial" w:hAnsi="Arial" w:cs="Arial"/>
          <w:sz w:val="24"/>
          <w:szCs w:val="24"/>
        </w:rPr>
        <w:t xml:space="preserve"> </w:t>
      </w:r>
    </w:p>
    <w:p w:rsidR="00FA020B" w:rsidRDefault="00D01E87" w:rsidP="00482CD6">
      <w:pPr>
        <w:rPr>
          <w:rFonts w:ascii="Arial" w:hAnsi="Arial" w:cs="Arial"/>
          <w:sz w:val="24"/>
          <w:szCs w:val="24"/>
        </w:rPr>
      </w:pPr>
      <w:r w:rsidRPr="00D01E87">
        <w:rPr>
          <w:rFonts w:ascii="Arial" w:hAnsi="Arial" w:cs="Arial"/>
          <w:b/>
          <w:sz w:val="24"/>
          <w:szCs w:val="24"/>
        </w:rPr>
        <w:lastRenderedPageBreak/>
        <w:t>NSPS Regulation Navigation Tool</w:t>
      </w:r>
      <w:r>
        <w:rPr>
          <w:rFonts w:ascii="Arial" w:hAnsi="Arial" w:cs="Arial"/>
          <w:sz w:val="24"/>
          <w:szCs w:val="24"/>
        </w:rPr>
        <w:t xml:space="preserve"> - </w:t>
      </w:r>
      <w:hyperlink r:id="rId10" w:history="1">
        <w:r w:rsidRPr="00165CA2">
          <w:rPr>
            <w:rStyle w:val="Hyperlink"/>
            <w:rFonts w:ascii="Arial" w:hAnsi="Arial" w:cs="Arial"/>
            <w:sz w:val="24"/>
            <w:szCs w:val="24"/>
          </w:rPr>
          <w:t>https://www3.epa.gov/ttn/atw/ice/quiz.html</w:t>
        </w:r>
      </w:hyperlink>
      <w:r>
        <w:rPr>
          <w:rFonts w:ascii="Arial" w:hAnsi="Arial" w:cs="Arial"/>
          <w:sz w:val="24"/>
          <w:szCs w:val="24"/>
        </w:rPr>
        <w:t xml:space="preserve"> </w:t>
      </w:r>
    </w:p>
    <w:p w:rsidR="00966995" w:rsidRDefault="00966995" w:rsidP="00482CD6">
      <w:pPr>
        <w:rPr>
          <w:rFonts w:ascii="Arial" w:hAnsi="Arial" w:cs="Arial"/>
          <w:sz w:val="24"/>
          <w:szCs w:val="24"/>
        </w:rPr>
      </w:pPr>
      <w:r w:rsidRPr="00966995">
        <w:rPr>
          <w:rFonts w:ascii="Arial" w:hAnsi="Arial" w:cs="Arial"/>
          <w:b/>
          <w:sz w:val="24"/>
          <w:szCs w:val="24"/>
        </w:rPr>
        <w:t>RICE Requirements at Area Sources</w:t>
      </w:r>
      <w:r w:rsidRPr="00966995">
        <w:rPr>
          <w:rFonts w:ascii="Arial" w:hAnsi="Arial" w:cs="Arial"/>
          <w:sz w:val="24"/>
          <w:szCs w:val="24"/>
        </w:rPr>
        <w:t xml:space="preserve"> - </w:t>
      </w:r>
      <w:hyperlink r:id="rId11" w:history="1">
        <w:r w:rsidRPr="00966995">
          <w:rPr>
            <w:rStyle w:val="Hyperlink"/>
            <w:rFonts w:ascii="Arial" w:hAnsi="Arial" w:cs="Arial"/>
            <w:sz w:val="24"/>
            <w:szCs w:val="24"/>
          </w:rPr>
          <w:t>https://www.epa.gov/sites/production/files/2014-03/documents/9_24_2013_summaryrequirements_area_sources.pdf</w:t>
        </w:r>
      </w:hyperlink>
    </w:p>
    <w:p w:rsidR="00D01E87" w:rsidRDefault="00D01E87" w:rsidP="00482CD6">
      <w:pPr>
        <w:rPr>
          <w:rFonts w:ascii="Arial" w:hAnsi="Arial" w:cs="Arial"/>
          <w:sz w:val="24"/>
          <w:szCs w:val="24"/>
        </w:rPr>
      </w:pPr>
      <w:r w:rsidRPr="00D01E87">
        <w:rPr>
          <w:rFonts w:ascii="Arial" w:hAnsi="Arial" w:cs="Arial"/>
          <w:b/>
          <w:sz w:val="24"/>
          <w:szCs w:val="24"/>
        </w:rPr>
        <w:t>RICE &amp; NSPS Q&amp;A, April 2, 2013</w:t>
      </w:r>
      <w:r>
        <w:rPr>
          <w:rFonts w:ascii="Arial" w:hAnsi="Arial" w:cs="Arial"/>
          <w:sz w:val="24"/>
          <w:szCs w:val="24"/>
        </w:rPr>
        <w:t xml:space="preserve"> - </w:t>
      </w:r>
      <w:hyperlink r:id="rId12" w:history="1">
        <w:r w:rsidRPr="00165CA2">
          <w:rPr>
            <w:rStyle w:val="Hyperlink"/>
            <w:rFonts w:ascii="Arial" w:hAnsi="Arial" w:cs="Arial"/>
            <w:sz w:val="24"/>
            <w:szCs w:val="24"/>
          </w:rPr>
          <w:t>https://www.epa.gov/sites/production/files/2014-03/documents/4_2_2013_qa_stationary_rice_neshap_nsps_stationaryci_si_ice.pdf</w:t>
        </w:r>
      </w:hyperlink>
      <w:r>
        <w:rPr>
          <w:rFonts w:ascii="Arial" w:hAnsi="Arial" w:cs="Arial"/>
          <w:sz w:val="24"/>
          <w:szCs w:val="24"/>
        </w:rPr>
        <w:t xml:space="preserve"> </w:t>
      </w:r>
    </w:p>
    <w:p w:rsidR="00966995" w:rsidRPr="00966995" w:rsidRDefault="00966995" w:rsidP="00482CD6">
      <w:pPr>
        <w:rPr>
          <w:rFonts w:ascii="Arial" w:hAnsi="Arial" w:cs="Arial"/>
          <w:sz w:val="24"/>
          <w:szCs w:val="24"/>
        </w:rPr>
      </w:pPr>
      <w:r w:rsidRPr="00966995">
        <w:rPr>
          <w:rFonts w:ascii="Arial" w:hAnsi="Arial" w:cs="Arial"/>
          <w:b/>
          <w:sz w:val="24"/>
          <w:szCs w:val="24"/>
        </w:rPr>
        <w:t>Waivers for stack testing, examples</w:t>
      </w:r>
      <w:r w:rsidRPr="00966995">
        <w:rPr>
          <w:rFonts w:ascii="Arial" w:hAnsi="Arial" w:cs="Arial"/>
          <w:sz w:val="24"/>
          <w:szCs w:val="24"/>
        </w:rPr>
        <w:t xml:space="preserve"> - </w:t>
      </w:r>
      <w:hyperlink r:id="rId13" w:history="1">
        <w:r w:rsidRPr="00966995">
          <w:rPr>
            <w:rStyle w:val="Hyperlink"/>
            <w:rFonts w:ascii="Arial" w:hAnsi="Arial" w:cs="Arial"/>
            <w:sz w:val="24"/>
            <w:szCs w:val="24"/>
          </w:rPr>
          <w:t>https://www.epa.gov/sites/production/files/2016-11/documents/rice_neshap_nsps_applicability_determinations_1.pdf</w:t>
        </w:r>
      </w:hyperlink>
    </w:p>
    <w:p w:rsidR="00AD6DA9" w:rsidRDefault="00AD6DA9" w:rsidP="00482CD6">
      <w:pPr>
        <w:rPr>
          <w:rFonts w:ascii="Arial" w:hAnsi="Arial" w:cs="Arial"/>
          <w:sz w:val="24"/>
          <w:szCs w:val="24"/>
        </w:rPr>
      </w:pPr>
      <w:r w:rsidRPr="00AD6DA9">
        <w:rPr>
          <w:rFonts w:ascii="Arial" w:hAnsi="Arial" w:cs="Arial"/>
          <w:b/>
          <w:sz w:val="24"/>
          <w:szCs w:val="24"/>
        </w:rPr>
        <w:t>Emission Standards for Farm Equipment Engines</w:t>
      </w:r>
      <w:r>
        <w:rPr>
          <w:rFonts w:ascii="Arial" w:hAnsi="Arial" w:cs="Arial"/>
          <w:sz w:val="24"/>
          <w:szCs w:val="24"/>
        </w:rPr>
        <w:t xml:space="preserve"> - </w:t>
      </w:r>
      <w:hyperlink r:id="rId14" w:history="1">
        <w:r w:rsidRPr="00165CA2">
          <w:rPr>
            <w:rStyle w:val="Hyperlink"/>
            <w:rFonts w:ascii="Arial" w:hAnsi="Arial" w:cs="Arial"/>
            <w:sz w:val="24"/>
            <w:szCs w:val="24"/>
          </w:rPr>
          <w:t>https://www.epa.gov/afos-air/emission-standards-farm-equipment-engines</w:t>
        </w:r>
      </w:hyperlink>
      <w:r>
        <w:rPr>
          <w:rFonts w:ascii="Arial" w:hAnsi="Arial" w:cs="Arial"/>
          <w:sz w:val="24"/>
          <w:szCs w:val="24"/>
        </w:rPr>
        <w:t xml:space="preserve"> </w:t>
      </w:r>
    </w:p>
    <w:p w:rsidR="00D01E87" w:rsidRDefault="006F60AF" w:rsidP="00482CD6">
      <w:pPr>
        <w:rPr>
          <w:rFonts w:ascii="Arial" w:hAnsi="Arial" w:cs="Arial"/>
          <w:b/>
          <w:sz w:val="24"/>
          <w:szCs w:val="24"/>
        </w:rPr>
      </w:pPr>
      <w:r w:rsidRPr="00D01E87">
        <w:rPr>
          <w:rFonts w:ascii="Arial" w:hAnsi="Arial" w:cs="Arial"/>
          <w:b/>
          <w:sz w:val="24"/>
          <w:szCs w:val="24"/>
        </w:rPr>
        <w:t>EPA’s Transportation &amp; Air Quality Document Index System</w:t>
      </w:r>
    </w:p>
    <w:p w:rsidR="00FA020B" w:rsidRDefault="00994E1B" w:rsidP="00482CD6">
      <w:pPr>
        <w:rPr>
          <w:rFonts w:ascii="Arial" w:hAnsi="Arial" w:cs="Arial"/>
          <w:sz w:val="24"/>
          <w:szCs w:val="24"/>
        </w:rPr>
      </w:pPr>
      <w:hyperlink r:id="rId15" w:history="1">
        <w:r w:rsidR="006F60AF" w:rsidRPr="00165CA2">
          <w:rPr>
            <w:rStyle w:val="Hyperlink"/>
            <w:rFonts w:ascii="Arial" w:hAnsi="Arial" w:cs="Arial"/>
            <w:sz w:val="24"/>
            <w:szCs w:val="24"/>
          </w:rPr>
          <w:t>https://iaspub.epa.gov/otaqpub/</w:t>
        </w:r>
      </w:hyperlink>
      <w:r w:rsidR="006F60AF">
        <w:rPr>
          <w:rFonts w:ascii="Arial" w:hAnsi="Arial" w:cs="Arial"/>
          <w:sz w:val="24"/>
          <w:szCs w:val="24"/>
        </w:rPr>
        <w:t xml:space="preserve">.  </w:t>
      </w:r>
      <w:r w:rsidR="00D01E87">
        <w:rPr>
          <w:rFonts w:ascii="Arial" w:hAnsi="Arial" w:cs="Arial"/>
          <w:sz w:val="24"/>
          <w:szCs w:val="24"/>
        </w:rPr>
        <w:t>Certification documents for a heavy-duty and/or non</w:t>
      </w:r>
      <w:r w:rsidR="00622A0A">
        <w:rPr>
          <w:rFonts w:ascii="Arial" w:hAnsi="Arial" w:cs="Arial"/>
          <w:sz w:val="24"/>
          <w:szCs w:val="24"/>
        </w:rPr>
        <w:t>-</w:t>
      </w:r>
      <w:r w:rsidR="00D01E87">
        <w:rPr>
          <w:rFonts w:ascii="Arial" w:hAnsi="Arial" w:cs="Arial"/>
          <w:sz w:val="24"/>
          <w:szCs w:val="24"/>
        </w:rPr>
        <w:t xml:space="preserve">road engine must be obtained by contacting </w:t>
      </w:r>
      <w:hyperlink r:id="rId16" w:history="1">
        <w:r w:rsidR="00D01E87" w:rsidRPr="00165CA2">
          <w:rPr>
            <w:rStyle w:val="Hyperlink"/>
            <w:rFonts w:ascii="Arial" w:hAnsi="Arial" w:cs="Arial"/>
            <w:sz w:val="24"/>
            <w:szCs w:val="24"/>
          </w:rPr>
          <w:t>ComplianceInfo@epa.gov</w:t>
        </w:r>
      </w:hyperlink>
      <w:r w:rsidR="00D01E87">
        <w:rPr>
          <w:rFonts w:ascii="Arial" w:hAnsi="Arial" w:cs="Arial"/>
          <w:sz w:val="24"/>
          <w:szCs w:val="24"/>
        </w:rPr>
        <w:t xml:space="preserve">. </w:t>
      </w:r>
    </w:p>
    <w:p w:rsidR="008C4EE2" w:rsidRPr="00F34DDA" w:rsidRDefault="00DE52AE" w:rsidP="00482CD6">
      <w:pPr>
        <w:rPr>
          <w:rFonts w:ascii="Arial" w:hAnsi="Arial" w:cs="Arial"/>
          <w:sz w:val="24"/>
          <w:szCs w:val="24"/>
        </w:rPr>
      </w:pPr>
      <w:r w:rsidRPr="00DE52AE">
        <w:rPr>
          <w:rFonts w:ascii="Arial" w:hAnsi="Arial" w:cs="Arial"/>
          <w:b/>
          <w:sz w:val="24"/>
          <w:szCs w:val="24"/>
        </w:rPr>
        <w:t>*</w:t>
      </w:r>
      <w:r>
        <w:rPr>
          <w:rFonts w:ascii="Arial" w:hAnsi="Arial" w:cs="Arial"/>
          <w:sz w:val="24"/>
          <w:szCs w:val="24"/>
        </w:rPr>
        <w:t xml:space="preserve"> </w:t>
      </w:r>
      <w:r w:rsidR="00F34DDA">
        <w:rPr>
          <w:rFonts w:ascii="Arial" w:hAnsi="Arial" w:cs="Arial"/>
          <w:sz w:val="24"/>
          <w:szCs w:val="24"/>
        </w:rPr>
        <w:t>During the Technical Subcommittee call held on June 20, 2017, it was suggested that we revisit the RICE rule possibly inviting Melanie King, EPA to speak.</w:t>
      </w:r>
    </w:p>
    <w:p w:rsidR="00F34DDA" w:rsidRPr="00F34DDA" w:rsidRDefault="00F34DDA" w:rsidP="00F34DDA">
      <w:pPr>
        <w:spacing w:after="0"/>
        <w:rPr>
          <w:rFonts w:ascii="Arial" w:hAnsi="Arial" w:cs="Arial"/>
          <w:bCs/>
          <w:sz w:val="28"/>
          <w:szCs w:val="28"/>
        </w:rPr>
      </w:pPr>
      <w:r w:rsidRPr="00F34DDA">
        <w:rPr>
          <w:rFonts w:ascii="Arial" w:hAnsi="Arial" w:cs="Arial"/>
          <w:b/>
          <w:bCs/>
          <w:sz w:val="28"/>
          <w:szCs w:val="28"/>
        </w:rPr>
        <w:t>Future topics:</w:t>
      </w:r>
      <w:r w:rsidRPr="00F34DDA">
        <w:rPr>
          <w:rFonts w:ascii="Arial" w:hAnsi="Arial" w:cs="Arial"/>
          <w:bCs/>
          <w:sz w:val="28"/>
          <w:szCs w:val="28"/>
        </w:rPr>
        <w:t xml:space="preserve"> </w:t>
      </w:r>
    </w:p>
    <w:p w:rsidR="00F34DDA" w:rsidRPr="00F34DDA" w:rsidRDefault="00F34DDA" w:rsidP="00F34DDA">
      <w:pPr>
        <w:numPr>
          <w:ilvl w:val="0"/>
          <w:numId w:val="27"/>
        </w:numPr>
        <w:spacing w:after="0" w:line="240" w:lineRule="auto"/>
        <w:rPr>
          <w:rFonts w:ascii="Arial" w:hAnsi="Arial" w:cs="Arial"/>
          <w:bCs/>
          <w:sz w:val="24"/>
          <w:szCs w:val="24"/>
        </w:rPr>
      </w:pPr>
      <w:r w:rsidRPr="00F34DDA">
        <w:rPr>
          <w:rFonts w:ascii="Arial" w:hAnsi="Arial" w:cs="Arial"/>
          <w:bCs/>
          <w:sz w:val="24"/>
          <w:szCs w:val="24"/>
        </w:rPr>
        <w:t xml:space="preserve">National Compliance Assistance Centers – Agriculture to Transportation – </w:t>
      </w:r>
      <w:r w:rsidRPr="00F34DDA">
        <w:rPr>
          <w:rFonts w:ascii="Arial" w:hAnsi="Arial" w:cs="Arial"/>
          <w:b/>
          <w:bCs/>
          <w:sz w:val="24"/>
          <w:szCs w:val="24"/>
        </w:rPr>
        <w:t>January 16, 2018</w:t>
      </w:r>
      <w:r w:rsidRPr="00F34DDA">
        <w:rPr>
          <w:rFonts w:ascii="Arial" w:hAnsi="Arial" w:cs="Arial"/>
          <w:bCs/>
          <w:sz w:val="24"/>
          <w:szCs w:val="24"/>
        </w:rPr>
        <w:t>?</w:t>
      </w:r>
    </w:p>
    <w:p w:rsidR="00F34DDA" w:rsidRPr="00F34DDA" w:rsidRDefault="00F34DDA" w:rsidP="00F34DDA">
      <w:pPr>
        <w:numPr>
          <w:ilvl w:val="0"/>
          <w:numId w:val="27"/>
        </w:numPr>
        <w:spacing w:after="0" w:line="240" w:lineRule="auto"/>
        <w:rPr>
          <w:rFonts w:ascii="Arial" w:hAnsi="Arial" w:cs="Arial"/>
          <w:bCs/>
          <w:sz w:val="24"/>
          <w:szCs w:val="24"/>
        </w:rPr>
      </w:pPr>
      <w:r w:rsidRPr="00F34DDA">
        <w:rPr>
          <w:rFonts w:ascii="Arial" w:hAnsi="Arial" w:cs="Arial"/>
          <w:bCs/>
          <w:sz w:val="24"/>
          <w:szCs w:val="24"/>
        </w:rPr>
        <w:t>Coating manufacturers: information sharing</w:t>
      </w:r>
    </w:p>
    <w:p w:rsidR="00F34DDA" w:rsidRPr="00F34DDA" w:rsidRDefault="00F34DDA" w:rsidP="00F34DDA">
      <w:pPr>
        <w:numPr>
          <w:ilvl w:val="0"/>
          <w:numId w:val="27"/>
        </w:numPr>
        <w:spacing w:after="0" w:line="240" w:lineRule="auto"/>
        <w:rPr>
          <w:rFonts w:ascii="Arial" w:hAnsi="Arial" w:cs="Arial"/>
          <w:bCs/>
          <w:sz w:val="24"/>
          <w:szCs w:val="24"/>
        </w:rPr>
      </w:pPr>
      <w:r w:rsidRPr="00F34DDA">
        <w:rPr>
          <w:rFonts w:ascii="Arial" w:hAnsi="Arial" w:cs="Arial"/>
          <w:bCs/>
          <w:sz w:val="24"/>
          <w:szCs w:val="24"/>
        </w:rPr>
        <w:t>Electronic hazardous waste manifests user fees</w:t>
      </w:r>
    </w:p>
    <w:p w:rsidR="00F34DDA" w:rsidRPr="00F34DDA" w:rsidRDefault="00F34DDA" w:rsidP="00F34DDA">
      <w:pPr>
        <w:numPr>
          <w:ilvl w:val="0"/>
          <w:numId w:val="27"/>
        </w:numPr>
        <w:spacing w:after="0" w:line="240" w:lineRule="auto"/>
        <w:rPr>
          <w:rFonts w:ascii="Arial" w:hAnsi="Arial" w:cs="Arial"/>
          <w:bCs/>
          <w:sz w:val="24"/>
          <w:szCs w:val="24"/>
        </w:rPr>
      </w:pPr>
      <w:r w:rsidRPr="00F34DDA">
        <w:rPr>
          <w:rFonts w:ascii="Arial" w:hAnsi="Arial" w:cs="Arial"/>
          <w:bCs/>
          <w:sz w:val="24"/>
          <w:szCs w:val="24"/>
        </w:rPr>
        <w:t>Startup/shutdown final rule: Tony Pendola -  NC &amp; Melissa Collier – MS</w:t>
      </w:r>
    </w:p>
    <w:p w:rsidR="00C62D72" w:rsidRPr="00F34DDA" w:rsidRDefault="00F34DDA" w:rsidP="00F34DDA">
      <w:pPr>
        <w:numPr>
          <w:ilvl w:val="0"/>
          <w:numId w:val="27"/>
        </w:numPr>
        <w:spacing w:after="0" w:line="240" w:lineRule="auto"/>
        <w:rPr>
          <w:rFonts w:ascii="Arial" w:hAnsi="Arial" w:cs="Arial"/>
          <w:bCs/>
          <w:sz w:val="24"/>
          <w:szCs w:val="24"/>
        </w:rPr>
      </w:pPr>
      <w:r w:rsidRPr="00F34DDA">
        <w:rPr>
          <w:rFonts w:ascii="Arial" w:hAnsi="Arial" w:cs="Arial"/>
          <w:bCs/>
          <w:sz w:val="24"/>
          <w:szCs w:val="24"/>
        </w:rPr>
        <w:t>Region 5 Plating &amp; Polishing NESHAP (6W) outreach effort – current progress</w:t>
      </w:r>
    </w:p>
    <w:p w:rsidR="00EB6324" w:rsidRPr="00F34DDA" w:rsidRDefault="00EB6324" w:rsidP="00621A6B">
      <w:pPr>
        <w:pStyle w:val="ListParagraph"/>
        <w:tabs>
          <w:tab w:val="left" w:pos="360"/>
          <w:tab w:val="left" w:pos="720"/>
          <w:tab w:val="left" w:pos="1080"/>
          <w:tab w:val="left" w:pos="1440"/>
          <w:tab w:val="left" w:pos="1800"/>
          <w:tab w:val="left" w:pos="2160"/>
          <w:tab w:val="left" w:pos="2520"/>
          <w:tab w:val="left" w:pos="2880"/>
        </w:tabs>
        <w:ind w:left="990"/>
        <w:rPr>
          <w:rFonts w:ascii="Arial" w:hAnsi="Arial" w:cs="Arial"/>
          <w:bCs/>
          <w:sz w:val="24"/>
          <w:szCs w:val="24"/>
        </w:rPr>
      </w:pPr>
    </w:p>
    <w:bookmarkEnd w:id="0"/>
    <w:bookmarkEnd w:id="1"/>
    <w:bookmarkEnd w:id="2"/>
    <w:bookmarkEnd w:id="3"/>
    <w:p w:rsidR="00B23525" w:rsidRPr="00F34DDA" w:rsidRDefault="00B23525" w:rsidP="00CD2E58">
      <w:pPr>
        <w:pStyle w:val="ListParagraph"/>
        <w:ind w:left="990" w:hanging="990"/>
        <w:rPr>
          <w:rFonts w:ascii="Arial" w:hAnsi="Arial" w:cs="Arial"/>
          <w:b/>
          <w:bCs/>
          <w:sz w:val="24"/>
          <w:szCs w:val="24"/>
        </w:rPr>
      </w:pPr>
    </w:p>
    <w:p w:rsidR="00CD2E58" w:rsidRPr="00F34DDA" w:rsidRDefault="00CD2E58" w:rsidP="00CD2E58">
      <w:pPr>
        <w:pStyle w:val="ListParagraph"/>
        <w:ind w:left="990" w:hanging="990"/>
        <w:rPr>
          <w:rFonts w:ascii="Arial" w:hAnsi="Arial" w:cs="Arial"/>
          <w:b/>
          <w:bCs/>
          <w:sz w:val="28"/>
          <w:szCs w:val="28"/>
        </w:rPr>
      </w:pPr>
      <w:r w:rsidRPr="00F34DDA">
        <w:rPr>
          <w:rFonts w:ascii="Arial" w:hAnsi="Arial" w:cs="Arial"/>
          <w:b/>
          <w:bCs/>
          <w:sz w:val="28"/>
          <w:szCs w:val="28"/>
        </w:rPr>
        <w:t xml:space="preserve">Next Call: </w:t>
      </w:r>
      <w:r w:rsidR="00F34DDA">
        <w:rPr>
          <w:rFonts w:ascii="Arial" w:hAnsi="Arial" w:cs="Arial"/>
          <w:b/>
          <w:bCs/>
          <w:sz w:val="28"/>
          <w:szCs w:val="28"/>
        </w:rPr>
        <w:t>November 21</w:t>
      </w:r>
      <w:r w:rsidRPr="00F34DDA">
        <w:rPr>
          <w:rFonts w:ascii="Arial" w:hAnsi="Arial" w:cs="Arial"/>
          <w:b/>
          <w:bCs/>
          <w:sz w:val="28"/>
          <w:szCs w:val="28"/>
        </w:rPr>
        <w:t xml:space="preserve">, 2017 </w:t>
      </w:r>
    </w:p>
    <w:p w:rsidR="00CD2E58" w:rsidRPr="00F34DDA" w:rsidRDefault="00CD2E58" w:rsidP="00CD2E58">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34DDA">
        <w:rPr>
          <w:rFonts w:ascii="Arial" w:hAnsi="Arial" w:cs="Arial"/>
          <w:bCs/>
          <w:sz w:val="24"/>
          <w:szCs w:val="24"/>
        </w:rPr>
        <w:t>1 pm CST (2 pm EST) (3</w:t>
      </w:r>
      <w:r w:rsidRPr="00F34DDA">
        <w:rPr>
          <w:rFonts w:ascii="Arial" w:hAnsi="Arial" w:cs="Arial"/>
          <w:bCs/>
          <w:sz w:val="24"/>
          <w:szCs w:val="24"/>
          <w:vertAlign w:val="superscript"/>
        </w:rPr>
        <w:t>rd</w:t>
      </w:r>
      <w:r w:rsidRPr="00F34DDA">
        <w:rPr>
          <w:rFonts w:ascii="Arial" w:hAnsi="Arial" w:cs="Arial"/>
          <w:bCs/>
          <w:sz w:val="24"/>
          <w:szCs w:val="24"/>
        </w:rPr>
        <w:t xml:space="preserve"> Tuesday of month)</w:t>
      </w:r>
    </w:p>
    <w:p w:rsidR="002D7898" w:rsidRPr="00F34DDA" w:rsidRDefault="004C0BC5" w:rsidP="00621A6B">
      <w:pPr>
        <w:tabs>
          <w:tab w:val="left" w:pos="360"/>
          <w:tab w:val="left" w:pos="720"/>
          <w:tab w:val="left" w:pos="1080"/>
          <w:tab w:val="left" w:pos="1440"/>
          <w:tab w:val="left" w:pos="1800"/>
          <w:tab w:val="left" w:pos="2160"/>
          <w:tab w:val="left" w:pos="2520"/>
          <w:tab w:val="left" w:pos="2880"/>
        </w:tabs>
        <w:rPr>
          <w:rFonts w:ascii="Arial" w:hAnsi="Arial" w:cs="Arial"/>
          <w:sz w:val="24"/>
          <w:szCs w:val="24"/>
        </w:rPr>
      </w:pPr>
      <w:r w:rsidRPr="00F34DDA">
        <w:rPr>
          <w:rFonts w:ascii="Arial" w:hAnsi="Arial" w:cs="Arial"/>
          <w:bCs/>
          <w:sz w:val="24"/>
          <w:szCs w:val="24"/>
        </w:rPr>
        <w:t>Mi</w:t>
      </w:r>
      <w:r w:rsidR="00581A34" w:rsidRPr="00F34DDA">
        <w:rPr>
          <w:rFonts w:ascii="Arial" w:hAnsi="Arial" w:cs="Arial"/>
          <w:bCs/>
          <w:sz w:val="24"/>
          <w:szCs w:val="24"/>
        </w:rPr>
        <w:t xml:space="preserve">nutes prepared by </w:t>
      </w:r>
      <w:r w:rsidR="00CD2E58" w:rsidRPr="00F34DDA">
        <w:rPr>
          <w:rFonts w:ascii="Arial" w:hAnsi="Arial" w:cs="Arial"/>
          <w:bCs/>
          <w:sz w:val="24"/>
          <w:szCs w:val="24"/>
        </w:rPr>
        <w:t xml:space="preserve">Brent Goetz </w:t>
      </w:r>
      <w:r w:rsidR="00926B85" w:rsidRPr="00F34DDA">
        <w:rPr>
          <w:rFonts w:ascii="Arial" w:hAnsi="Arial" w:cs="Arial"/>
          <w:bCs/>
          <w:sz w:val="24"/>
          <w:szCs w:val="24"/>
        </w:rPr>
        <w:t xml:space="preserve">– </w:t>
      </w:r>
      <w:r w:rsidR="00CD2E58" w:rsidRPr="00F34DDA">
        <w:rPr>
          <w:rFonts w:ascii="Arial" w:hAnsi="Arial" w:cs="Arial"/>
          <w:bCs/>
          <w:sz w:val="24"/>
          <w:szCs w:val="24"/>
        </w:rPr>
        <w:t>OH</w:t>
      </w:r>
      <w:r w:rsidR="00926B85" w:rsidRPr="00F34DDA">
        <w:rPr>
          <w:rFonts w:ascii="Arial" w:hAnsi="Arial" w:cs="Arial"/>
          <w:bCs/>
          <w:sz w:val="24"/>
          <w:szCs w:val="24"/>
        </w:rPr>
        <w:t xml:space="preserve"> </w:t>
      </w:r>
      <w:r w:rsidR="008D15D0" w:rsidRPr="00F34DDA">
        <w:rPr>
          <w:rFonts w:ascii="Arial" w:hAnsi="Arial" w:cs="Arial"/>
          <w:bCs/>
          <w:sz w:val="24"/>
          <w:szCs w:val="24"/>
        </w:rPr>
        <w:t>(</w:t>
      </w:r>
      <w:hyperlink r:id="rId17" w:history="1">
        <w:r w:rsidR="00B05026" w:rsidRPr="00F34DDA">
          <w:rPr>
            <w:rStyle w:val="Hyperlink"/>
            <w:rFonts w:ascii="Arial" w:hAnsi="Arial" w:cs="Arial"/>
            <w:sz w:val="24"/>
            <w:szCs w:val="24"/>
          </w:rPr>
          <w:t>Brent.Goetz@epa.ohio.gov</w:t>
        </w:r>
      </w:hyperlink>
      <w:r w:rsidR="008D15D0" w:rsidRPr="00F34DDA">
        <w:rPr>
          <w:rFonts w:ascii="Arial" w:hAnsi="Arial" w:cs="Arial"/>
          <w:bCs/>
          <w:sz w:val="24"/>
          <w:szCs w:val="24"/>
        </w:rPr>
        <w:t xml:space="preserve">) </w:t>
      </w:r>
      <w:r w:rsidR="00926B85" w:rsidRPr="00F34DDA">
        <w:rPr>
          <w:rFonts w:ascii="Arial" w:hAnsi="Arial" w:cs="Arial"/>
          <w:bCs/>
          <w:sz w:val="24"/>
          <w:szCs w:val="24"/>
        </w:rPr>
        <w:t xml:space="preserve">and Mark Stoddard </w:t>
      </w:r>
      <w:r w:rsidR="008D15D0" w:rsidRPr="00F34DDA">
        <w:rPr>
          <w:rFonts w:ascii="Arial" w:hAnsi="Arial" w:cs="Arial"/>
          <w:bCs/>
          <w:sz w:val="24"/>
          <w:szCs w:val="24"/>
        </w:rPr>
        <w:t>–</w:t>
      </w:r>
      <w:r w:rsidR="00926B85" w:rsidRPr="00F34DDA">
        <w:rPr>
          <w:rFonts w:ascii="Arial" w:hAnsi="Arial" w:cs="Arial"/>
          <w:bCs/>
          <w:sz w:val="24"/>
          <w:szCs w:val="24"/>
        </w:rPr>
        <w:t xml:space="preserve"> IN</w:t>
      </w:r>
      <w:r w:rsidR="008D15D0" w:rsidRPr="00F34DDA">
        <w:rPr>
          <w:rFonts w:ascii="Arial" w:hAnsi="Arial" w:cs="Arial"/>
          <w:bCs/>
          <w:sz w:val="24"/>
          <w:szCs w:val="24"/>
        </w:rPr>
        <w:t xml:space="preserve"> (</w:t>
      </w:r>
      <w:hyperlink r:id="rId18" w:history="1">
        <w:r w:rsidR="008D15D0" w:rsidRPr="00F34DDA">
          <w:rPr>
            <w:rStyle w:val="Hyperlink"/>
            <w:rFonts w:ascii="Arial" w:hAnsi="Arial" w:cs="Arial"/>
            <w:bCs/>
            <w:sz w:val="24"/>
            <w:szCs w:val="24"/>
          </w:rPr>
          <w:t>MSTODDAR@idem.IN.gov</w:t>
        </w:r>
      </w:hyperlink>
      <w:r w:rsidR="008D15D0" w:rsidRPr="00F34DDA">
        <w:rPr>
          <w:rFonts w:ascii="Arial" w:hAnsi="Arial" w:cs="Arial"/>
          <w:bCs/>
          <w:sz w:val="24"/>
          <w:szCs w:val="24"/>
        </w:rPr>
        <w:t>)</w:t>
      </w:r>
      <w:r w:rsidRPr="00F34DDA">
        <w:rPr>
          <w:rFonts w:ascii="Arial" w:hAnsi="Arial" w:cs="Arial"/>
          <w:bCs/>
          <w:sz w:val="24"/>
          <w:szCs w:val="24"/>
        </w:rPr>
        <w:t>, Technical Subcommittee Co-Chair</w:t>
      </w:r>
      <w:r w:rsidR="00926B85" w:rsidRPr="00F34DDA">
        <w:rPr>
          <w:rFonts w:ascii="Arial" w:hAnsi="Arial" w:cs="Arial"/>
          <w:bCs/>
          <w:sz w:val="24"/>
          <w:szCs w:val="24"/>
        </w:rPr>
        <w:t>s</w:t>
      </w:r>
      <w:r w:rsidR="008D15D0" w:rsidRPr="00F34DDA">
        <w:rPr>
          <w:rFonts w:ascii="Arial" w:hAnsi="Arial" w:cs="Arial"/>
          <w:bCs/>
          <w:sz w:val="24"/>
          <w:szCs w:val="24"/>
        </w:rPr>
        <w:t>.</w:t>
      </w:r>
    </w:p>
    <w:sectPr w:rsidR="002D7898" w:rsidRPr="00F34DDA"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19"/>
  </w:num>
  <w:num w:numId="6">
    <w:abstractNumId w:val="14"/>
  </w:num>
  <w:num w:numId="7">
    <w:abstractNumId w:val="0"/>
  </w:num>
  <w:num w:numId="8">
    <w:abstractNumId w:val="18"/>
  </w:num>
  <w:num w:numId="9">
    <w:abstractNumId w:val="24"/>
  </w:num>
  <w:num w:numId="10">
    <w:abstractNumId w:val="16"/>
  </w:num>
  <w:num w:numId="11">
    <w:abstractNumId w:val="5"/>
  </w:num>
  <w:num w:numId="12">
    <w:abstractNumId w:val="1"/>
  </w:num>
  <w:num w:numId="13">
    <w:abstractNumId w:val="25"/>
  </w:num>
  <w:num w:numId="14">
    <w:abstractNumId w:val="12"/>
  </w:num>
  <w:num w:numId="15">
    <w:abstractNumId w:val="6"/>
  </w:num>
  <w:num w:numId="16">
    <w:abstractNumId w:val="27"/>
  </w:num>
  <w:num w:numId="17">
    <w:abstractNumId w:val="7"/>
  </w:num>
  <w:num w:numId="18">
    <w:abstractNumId w:val="4"/>
  </w:num>
  <w:num w:numId="19">
    <w:abstractNumId w:val="20"/>
  </w:num>
  <w:num w:numId="20">
    <w:abstractNumId w:val="17"/>
  </w:num>
  <w:num w:numId="21">
    <w:abstractNumId w:val="2"/>
  </w:num>
  <w:num w:numId="22">
    <w:abstractNumId w:val="23"/>
  </w:num>
  <w:num w:numId="23">
    <w:abstractNumId w:val="11"/>
  </w:num>
  <w:num w:numId="24">
    <w:abstractNumId w:val="21"/>
  </w:num>
  <w:num w:numId="25">
    <w:abstractNumId w:val="8"/>
  </w:num>
  <w:num w:numId="26">
    <w:abstractNumId w:val="22"/>
  </w:num>
  <w:num w:numId="27">
    <w:abstractNumId w:val="18"/>
  </w:num>
  <w:num w:numId="28">
    <w:abstractNumId w:val="26"/>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14D90"/>
    <w:rsid w:val="00024A01"/>
    <w:rsid w:val="00042693"/>
    <w:rsid w:val="00047B94"/>
    <w:rsid w:val="00050C1E"/>
    <w:rsid w:val="00051426"/>
    <w:rsid w:val="00052E37"/>
    <w:rsid w:val="00061445"/>
    <w:rsid w:val="000801DA"/>
    <w:rsid w:val="00080E1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2C63"/>
    <w:rsid w:val="0010701B"/>
    <w:rsid w:val="0011023C"/>
    <w:rsid w:val="001203CA"/>
    <w:rsid w:val="00121150"/>
    <w:rsid w:val="00121302"/>
    <w:rsid w:val="001224FD"/>
    <w:rsid w:val="00126447"/>
    <w:rsid w:val="001264C1"/>
    <w:rsid w:val="00136F01"/>
    <w:rsid w:val="00137946"/>
    <w:rsid w:val="00143202"/>
    <w:rsid w:val="00145C3B"/>
    <w:rsid w:val="00157609"/>
    <w:rsid w:val="001678C8"/>
    <w:rsid w:val="00170991"/>
    <w:rsid w:val="001717AE"/>
    <w:rsid w:val="00173E97"/>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386F"/>
    <w:rsid w:val="00247E34"/>
    <w:rsid w:val="002502FB"/>
    <w:rsid w:val="00252C55"/>
    <w:rsid w:val="0025372C"/>
    <w:rsid w:val="00256274"/>
    <w:rsid w:val="00261668"/>
    <w:rsid w:val="00264B96"/>
    <w:rsid w:val="0028060D"/>
    <w:rsid w:val="002841F5"/>
    <w:rsid w:val="00285BBD"/>
    <w:rsid w:val="002878E0"/>
    <w:rsid w:val="00294ADF"/>
    <w:rsid w:val="002A7A2E"/>
    <w:rsid w:val="002B0AA0"/>
    <w:rsid w:val="002B37FB"/>
    <w:rsid w:val="002B7D1D"/>
    <w:rsid w:val="002C0EDA"/>
    <w:rsid w:val="002C2F76"/>
    <w:rsid w:val="002D6CE4"/>
    <w:rsid w:val="002D7898"/>
    <w:rsid w:val="002D794E"/>
    <w:rsid w:val="002E6EFF"/>
    <w:rsid w:val="002F33DE"/>
    <w:rsid w:val="00310D36"/>
    <w:rsid w:val="003419D8"/>
    <w:rsid w:val="00345315"/>
    <w:rsid w:val="00356BE1"/>
    <w:rsid w:val="0036425A"/>
    <w:rsid w:val="00371D2A"/>
    <w:rsid w:val="00377402"/>
    <w:rsid w:val="00382969"/>
    <w:rsid w:val="00382FBF"/>
    <w:rsid w:val="00396E03"/>
    <w:rsid w:val="00396EA9"/>
    <w:rsid w:val="003A2449"/>
    <w:rsid w:val="003B24C0"/>
    <w:rsid w:val="003C170C"/>
    <w:rsid w:val="003D5A13"/>
    <w:rsid w:val="003D6EC5"/>
    <w:rsid w:val="003E0060"/>
    <w:rsid w:val="003E1151"/>
    <w:rsid w:val="003F5861"/>
    <w:rsid w:val="00401D6C"/>
    <w:rsid w:val="0040348E"/>
    <w:rsid w:val="00403751"/>
    <w:rsid w:val="00404EA3"/>
    <w:rsid w:val="00405568"/>
    <w:rsid w:val="00407EE4"/>
    <w:rsid w:val="00410CFD"/>
    <w:rsid w:val="00421628"/>
    <w:rsid w:val="004217E5"/>
    <w:rsid w:val="0042250D"/>
    <w:rsid w:val="004236CD"/>
    <w:rsid w:val="00425EA3"/>
    <w:rsid w:val="0044495A"/>
    <w:rsid w:val="00454D63"/>
    <w:rsid w:val="00460A40"/>
    <w:rsid w:val="00462892"/>
    <w:rsid w:val="0046438C"/>
    <w:rsid w:val="00466B89"/>
    <w:rsid w:val="004703F9"/>
    <w:rsid w:val="00482CD6"/>
    <w:rsid w:val="00486276"/>
    <w:rsid w:val="004867C3"/>
    <w:rsid w:val="00492B51"/>
    <w:rsid w:val="004A19EB"/>
    <w:rsid w:val="004A5C21"/>
    <w:rsid w:val="004B0E8D"/>
    <w:rsid w:val="004B1CCC"/>
    <w:rsid w:val="004B2171"/>
    <w:rsid w:val="004B4E2B"/>
    <w:rsid w:val="004B660B"/>
    <w:rsid w:val="004C002A"/>
    <w:rsid w:val="004C0BC5"/>
    <w:rsid w:val="004C0C19"/>
    <w:rsid w:val="004C516B"/>
    <w:rsid w:val="004C5F4B"/>
    <w:rsid w:val="004D44DD"/>
    <w:rsid w:val="004D770A"/>
    <w:rsid w:val="004D7D06"/>
    <w:rsid w:val="004E2A2D"/>
    <w:rsid w:val="004E72D2"/>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3AC6"/>
    <w:rsid w:val="00585D5A"/>
    <w:rsid w:val="005A15F0"/>
    <w:rsid w:val="005A3BE5"/>
    <w:rsid w:val="005A4C71"/>
    <w:rsid w:val="005B1DAA"/>
    <w:rsid w:val="005B5F4D"/>
    <w:rsid w:val="005B7FDA"/>
    <w:rsid w:val="00601F56"/>
    <w:rsid w:val="00603BEB"/>
    <w:rsid w:val="00610439"/>
    <w:rsid w:val="00614943"/>
    <w:rsid w:val="00614C35"/>
    <w:rsid w:val="00621A6B"/>
    <w:rsid w:val="00622A0A"/>
    <w:rsid w:val="0062608D"/>
    <w:rsid w:val="00631E22"/>
    <w:rsid w:val="00631FAA"/>
    <w:rsid w:val="0063330B"/>
    <w:rsid w:val="006355A8"/>
    <w:rsid w:val="0065356C"/>
    <w:rsid w:val="00663546"/>
    <w:rsid w:val="0068067A"/>
    <w:rsid w:val="00680787"/>
    <w:rsid w:val="0068627B"/>
    <w:rsid w:val="006906BB"/>
    <w:rsid w:val="00697145"/>
    <w:rsid w:val="006A0323"/>
    <w:rsid w:val="006A5AFE"/>
    <w:rsid w:val="006B57B3"/>
    <w:rsid w:val="006C5BB5"/>
    <w:rsid w:val="006C63E1"/>
    <w:rsid w:val="006D3B50"/>
    <w:rsid w:val="006D416D"/>
    <w:rsid w:val="006F1934"/>
    <w:rsid w:val="006F60AF"/>
    <w:rsid w:val="006F7006"/>
    <w:rsid w:val="006F7E34"/>
    <w:rsid w:val="00703999"/>
    <w:rsid w:val="00712E91"/>
    <w:rsid w:val="00752C06"/>
    <w:rsid w:val="007639DE"/>
    <w:rsid w:val="00766DA9"/>
    <w:rsid w:val="00767FD4"/>
    <w:rsid w:val="00776C06"/>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93B92"/>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6995"/>
    <w:rsid w:val="00967123"/>
    <w:rsid w:val="00971403"/>
    <w:rsid w:val="00977045"/>
    <w:rsid w:val="0098419E"/>
    <w:rsid w:val="00993B18"/>
    <w:rsid w:val="00994AE1"/>
    <w:rsid w:val="00994E1B"/>
    <w:rsid w:val="009B353C"/>
    <w:rsid w:val="009C525A"/>
    <w:rsid w:val="009D128C"/>
    <w:rsid w:val="009D3DA0"/>
    <w:rsid w:val="009D7082"/>
    <w:rsid w:val="009E2355"/>
    <w:rsid w:val="009E62E7"/>
    <w:rsid w:val="009E6E6E"/>
    <w:rsid w:val="009E7D3F"/>
    <w:rsid w:val="009F06A1"/>
    <w:rsid w:val="009F1DAB"/>
    <w:rsid w:val="00A14710"/>
    <w:rsid w:val="00A21B39"/>
    <w:rsid w:val="00A257D9"/>
    <w:rsid w:val="00A360A5"/>
    <w:rsid w:val="00A36DD1"/>
    <w:rsid w:val="00A37FFC"/>
    <w:rsid w:val="00A451DA"/>
    <w:rsid w:val="00A70267"/>
    <w:rsid w:val="00A72295"/>
    <w:rsid w:val="00A82B15"/>
    <w:rsid w:val="00A84FFD"/>
    <w:rsid w:val="00A9253A"/>
    <w:rsid w:val="00A925C4"/>
    <w:rsid w:val="00A969F1"/>
    <w:rsid w:val="00AA039B"/>
    <w:rsid w:val="00AA5883"/>
    <w:rsid w:val="00AC02A9"/>
    <w:rsid w:val="00AC1398"/>
    <w:rsid w:val="00AD6DA9"/>
    <w:rsid w:val="00AD7ED7"/>
    <w:rsid w:val="00AD7FE6"/>
    <w:rsid w:val="00AE4B00"/>
    <w:rsid w:val="00AE6AA2"/>
    <w:rsid w:val="00B03AF6"/>
    <w:rsid w:val="00B05026"/>
    <w:rsid w:val="00B21843"/>
    <w:rsid w:val="00B22074"/>
    <w:rsid w:val="00B23525"/>
    <w:rsid w:val="00B315C7"/>
    <w:rsid w:val="00B40A74"/>
    <w:rsid w:val="00B40CC0"/>
    <w:rsid w:val="00B440E5"/>
    <w:rsid w:val="00B52889"/>
    <w:rsid w:val="00B53AA4"/>
    <w:rsid w:val="00B55BD0"/>
    <w:rsid w:val="00B574AC"/>
    <w:rsid w:val="00B65778"/>
    <w:rsid w:val="00B66BFD"/>
    <w:rsid w:val="00B66DA9"/>
    <w:rsid w:val="00B716D7"/>
    <w:rsid w:val="00B73AE7"/>
    <w:rsid w:val="00B8779A"/>
    <w:rsid w:val="00B9010B"/>
    <w:rsid w:val="00B910BE"/>
    <w:rsid w:val="00B910FA"/>
    <w:rsid w:val="00B92EE7"/>
    <w:rsid w:val="00B95CF9"/>
    <w:rsid w:val="00B9632B"/>
    <w:rsid w:val="00BB129B"/>
    <w:rsid w:val="00BB47A1"/>
    <w:rsid w:val="00BB73B1"/>
    <w:rsid w:val="00BC182F"/>
    <w:rsid w:val="00BD2116"/>
    <w:rsid w:val="00BD27B5"/>
    <w:rsid w:val="00BD6EFC"/>
    <w:rsid w:val="00BD6FE4"/>
    <w:rsid w:val="00BE7040"/>
    <w:rsid w:val="00BF5F39"/>
    <w:rsid w:val="00C04022"/>
    <w:rsid w:val="00C117E7"/>
    <w:rsid w:val="00C25183"/>
    <w:rsid w:val="00C47E65"/>
    <w:rsid w:val="00C5051E"/>
    <w:rsid w:val="00C53814"/>
    <w:rsid w:val="00C6170F"/>
    <w:rsid w:val="00C62D72"/>
    <w:rsid w:val="00C63118"/>
    <w:rsid w:val="00C71446"/>
    <w:rsid w:val="00C7216F"/>
    <w:rsid w:val="00C7499E"/>
    <w:rsid w:val="00C77ADC"/>
    <w:rsid w:val="00C82CDA"/>
    <w:rsid w:val="00C95302"/>
    <w:rsid w:val="00CA59DA"/>
    <w:rsid w:val="00CB215D"/>
    <w:rsid w:val="00CD2E58"/>
    <w:rsid w:val="00CD313B"/>
    <w:rsid w:val="00CD3FB3"/>
    <w:rsid w:val="00CD686B"/>
    <w:rsid w:val="00CD790E"/>
    <w:rsid w:val="00CE1E11"/>
    <w:rsid w:val="00CE43F9"/>
    <w:rsid w:val="00CE48D0"/>
    <w:rsid w:val="00CE6BFB"/>
    <w:rsid w:val="00CF3EF7"/>
    <w:rsid w:val="00D00999"/>
    <w:rsid w:val="00D010DC"/>
    <w:rsid w:val="00D012E0"/>
    <w:rsid w:val="00D01A63"/>
    <w:rsid w:val="00D01E87"/>
    <w:rsid w:val="00D13A69"/>
    <w:rsid w:val="00D17D5D"/>
    <w:rsid w:val="00D17FF7"/>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259"/>
    <w:rsid w:val="00DA17BC"/>
    <w:rsid w:val="00DA708B"/>
    <w:rsid w:val="00DA73F0"/>
    <w:rsid w:val="00DA7EDB"/>
    <w:rsid w:val="00DB052D"/>
    <w:rsid w:val="00DB0C64"/>
    <w:rsid w:val="00DB0EE1"/>
    <w:rsid w:val="00DD0307"/>
    <w:rsid w:val="00DD2EDD"/>
    <w:rsid w:val="00DE52AE"/>
    <w:rsid w:val="00DF4619"/>
    <w:rsid w:val="00E00442"/>
    <w:rsid w:val="00E0243F"/>
    <w:rsid w:val="00E024EA"/>
    <w:rsid w:val="00E053B7"/>
    <w:rsid w:val="00E117D1"/>
    <w:rsid w:val="00E13866"/>
    <w:rsid w:val="00E31FC8"/>
    <w:rsid w:val="00E363F7"/>
    <w:rsid w:val="00E41032"/>
    <w:rsid w:val="00E52011"/>
    <w:rsid w:val="00E521DF"/>
    <w:rsid w:val="00E55AB0"/>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34DDA"/>
    <w:rsid w:val="00F534E6"/>
    <w:rsid w:val="00F56C4E"/>
    <w:rsid w:val="00F61E89"/>
    <w:rsid w:val="00F72DD2"/>
    <w:rsid w:val="00F776D4"/>
    <w:rsid w:val="00F82E51"/>
    <w:rsid w:val="00F86601"/>
    <w:rsid w:val="00F91028"/>
    <w:rsid w:val="00F9319C"/>
    <w:rsid w:val="00F93D03"/>
    <w:rsid w:val="00F95F07"/>
    <w:rsid w:val="00FA020B"/>
    <w:rsid w:val="00FA2C61"/>
    <w:rsid w:val="00FA7B6D"/>
    <w:rsid w:val="00FB3947"/>
    <w:rsid w:val="00FC02EC"/>
    <w:rsid w:val="00FC21BC"/>
    <w:rsid w:val="00FC7F8B"/>
    <w:rsid w:val="00FD0714"/>
    <w:rsid w:val="00FD1275"/>
    <w:rsid w:val="00FD3123"/>
    <w:rsid w:val="00FD3794"/>
    <w:rsid w:val="00FE1F18"/>
    <w:rsid w:val="00FF1F2C"/>
    <w:rsid w:val="00FF293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tationary-engines" TargetMode="External"/><Relationship Id="rId13" Type="http://schemas.openxmlformats.org/officeDocument/2006/relationships/hyperlink" Target="https://www.epa.gov/sites/production/files/2016-11/documents/rice_neshap_nsps_applicability_determinations_1.pdf" TargetMode="External"/><Relationship Id="rId18" Type="http://schemas.openxmlformats.org/officeDocument/2006/relationships/hyperlink" Target="mailto:MSTODDAR@idem.IN.gov" TargetMode="External"/><Relationship Id="rId3" Type="http://schemas.openxmlformats.org/officeDocument/2006/relationships/styles" Target="styles.xml"/><Relationship Id="rId7" Type="http://schemas.openxmlformats.org/officeDocument/2006/relationships/hyperlink" Target="https://cfpub.epa.gov/adi/" TargetMode="External"/><Relationship Id="rId12" Type="http://schemas.openxmlformats.org/officeDocument/2006/relationships/hyperlink" Target="https://www.epa.gov/sites/production/files/2014-03/documents/4_2_2013_qa_stationary_rice_neshap_nsps_stationaryci_si_ice.pdf" TargetMode="External"/><Relationship Id="rId17" Type="http://schemas.openxmlformats.org/officeDocument/2006/relationships/hyperlink" Target="mailto:Brent.Goetz@epa.ohio.gov" TargetMode="External"/><Relationship Id="rId2" Type="http://schemas.openxmlformats.org/officeDocument/2006/relationships/numbering" Target="numbering.xml"/><Relationship Id="rId16" Type="http://schemas.openxmlformats.org/officeDocument/2006/relationships/hyperlink" Target="mailto:ComplianceInfo@e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4-03/documents/9_24_2013_summaryrequirements_area_sources.pdf" TargetMode="External"/><Relationship Id="rId5" Type="http://schemas.openxmlformats.org/officeDocument/2006/relationships/settings" Target="settings.xml"/><Relationship Id="rId15" Type="http://schemas.openxmlformats.org/officeDocument/2006/relationships/hyperlink" Target="https://iaspub.epa.gov/otaqpub/" TargetMode="External"/><Relationship Id="rId10" Type="http://schemas.openxmlformats.org/officeDocument/2006/relationships/hyperlink" Target="https://www3.epa.gov/ttn/atw/ice/quiz.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3.epa.gov/ttn/atw/rice/output/quiz.html" TargetMode="External"/><Relationship Id="rId14" Type="http://schemas.openxmlformats.org/officeDocument/2006/relationships/hyperlink" Target="https://www.epa.gov/afos-air/emission-standards-farm-equipment-eng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ED33-F4A8-432C-BEFE-A441E71B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Barbara Goode</cp:lastModifiedBy>
  <cp:revision>3</cp:revision>
  <dcterms:created xsi:type="dcterms:W3CDTF">2017-10-23T20:28:00Z</dcterms:created>
  <dcterms:modified xsi:type="dcterms:W3CDTF">2017-12-26T19:15:00Z</dcterms:modified>
</cp:coreProperties>
</file>