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91A7C" w14:textId="4685BA1C" w:rsidR="00805ACE" w:rsidRPr="00DA366B" w:rsidRDefault="00F86601"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NSC Technical Subcommittee Call Minutes –</w:t>
      </w:r>
      <w:r w:rsidR="00BB47A1" w:rsidRPr="00DA366B">
        <w:rPr>
          <w:rFonts w:ascii="Arial" w:hAnsi="Arial" w:cs="Arial"/>
          <w:b/>
          <w:sz w:val="24"/>
          <w:szCs w:val="24"/>
        </w:rPr>
        <w:t xml:space="preserve"> </w:t>
      </w:r>
      <w:r w:rsidR="00504313">
        <w:rPr>
          <w:rFonts w:ascii="Arial" w:hAnsi="Arial" w:cs="Arial"/>
          <w:b/>
          <w:sz w:val="24"/>
          <w:szCs w:val="24"/>
        </w:rPr>
        <w:t>September 19</w:t>
      </w:r>
      <w:r w:rsidR="00BD6EFC" w:rsidRPr="00DA366B">
        <w:rPr>
          <w:rFonts w:ascii="Arial" w:hAnsi="Arial" w:cs="Arial"/>
          <w:b/>
          <w:sz w:val="24"/>
          <w:szCs w:val="24"/>
        </w:rPr>
        <w:t>, 201</w:t>
      </w:r>
      <w:r w:rsidR="00D33E1A" w:rsidRPr="00DA366B">
        <w:rPr>
          <w:rFonts w:ascii="Arial" w:hAnsi="Arial" w:cs="Arial"/>
          <w:b/>
          <w:sz w:val="24"/>
          <w:szCs w:val="24"/>
        </w:rPr>
        <w:t>7</w:t>
      </w:r>
      <w:r w:rsidR="003D5A13" w:rsidRPr="00DA366B">
        <w:rPr>
          <w:rFonts w:ascii="Arial" w:hAnsi="Arial" w:cs="Arial"/>
          <w:b/>
          <w:sz w:val="24"/>
          <w:szCs w:val="24"/>
        </w:rPr>
        <w:t xml:space="preserve"> </w:t>
      </w:r>
    </w:p>
    <w:p w14:paraId="7FC9D4E5" w14:textId="77777777" w:rsidR="00C6170F" w:rsidRPr="00DA366B" w:rsidRDefault="00126447"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Participation [by regions]</w:t>
      </w:r>
      <w:r w:rsidR="00C6170F" w:rsidRPr="00DA366B">
        <w:rPr>
          <w:rFonts w:ascii="Arial" w:hAnsi="Arial" w:cs="Arial"/>
          <w:b/>
          <w:sz w:val="24"/>
          <w:szCs w:val="24"/>
        </w:rPr>
        <w:t>:</w:t>
      </w:r>
    </w:p>
    <w:p w14:paraId="0764034C" w14:textId="77777777" w:rsidR="004241C2" w:rsidRDefault="00687E3F"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bookmarkStart w:id="0" w:name="OLE_LINK3"/>
      <w:bookmarkStart w:id="1" w:name="OLE_LINK4"/>
      <w:bookmarkStart w:id="2" w:name="OLE_LINK1"/>
      <w:bookmarkStart w:id="3" w:name="OLE_LINK2"/>
      <w:r>
        <w:rPr>
          <w:rFonts w:ascii="Arial" w:eastAsia="Times New Roman" w:hAnsi="Arial" w:cs="Arial"/>
          <w:sz w:val="24"/>
          <w:szCs w:val="24"/>
        </w:rPr>
        <w:t>1:</w:t>
      </w:r>
      <w:r>
        <w:rPr>
          <w:rFonts w:ascii="Arial" w:eastAsia="Times New Roman" w:hAnsi="Arial" w:cs="Arial"/>
          <w:sz w:val="24"/>
          <w:szCs w:val="24"/>
        </w:rPr>
        <w:tab/>
      </w:r>
      <w:r w:rsidR="004241C2">
        <w:rPr>
          <w:rFonts w:ascii="Arial" w:eastAsia="Times New Roman" w:hAnsi="Arial" w:cs="Arial"/>
          <w:sz w:val="24"/>
          <w:szCs w:val="24"/>
        </w:rPr>
        <w:t>Sara Johnson-NH</w:t>
      </w:r>
    </w:p>
    <w:p w14:paraId="1340D063" w14:textId="5253975B" w:rsidR="007007A2" w:rsidRDefault="004241C2"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t xml:space="preserve">Ed </w:t>
      </w:r>
      <w:proofErr w:type="spellStart"/>
      <w:r>
        <w:rPr>
          <w:rFonts w:ascii="Arial" w:eastAsia="Times New Roman" w:hAnsi="Arial" w:cs="Arial"/>
          <w:sz w:val="24"/>
          <w:szCs w:val="24"/>
        </w:rPr>
        <w:t>Bakos</w:t>
      </w:r>
      <w:proofErr w:type="spellEnd"/>
      <w:r>
        <w:rPr>
          <w:rFonts w:ascii="Arial" w:eastAsia="Times New Roman" w:hAnsi="Arial" w:cs="Arial"/>
          <w:sz w:val="24"/>
          <w:szCs w:val="24"/>
        </w:rPr>
        <w:t xml:space="preserve">-NJ, </w:t>
      </w:r>
      <w:proofErr w:type="spellStart"/>
      <w:r>
        <w:rPr>
          <w:rFonts w:ascii="Arial" w:eastAsia="Times New Roman" w:hAnsi="Arial" w:cs="Arial"/>
          <w:sz w:val="24"/>
          <w:szCs w:val="24"/>
        </w:rPr>
        <w:t>Hary</w:t>
      </w:r>
      <w:proofErr w:type="spellEnd"/>
      <w:r>
        <w:rPr>
          <w:rFonts w:ascii="Arial" w:eastAsia="Times New Roman" w:hAnsi="Arial" w:cs="Arial"/>
          <w:sz w:val="24"/>
          <w:szCs w:val="24"/>
        </w:rPr>
        <w:t xml:space="preserve"> Ching-NY</w:t>
      </w:r>
      <w:r w:rsidR="00106AF4">
        <w:rPr>
          <w:rFonts w:ascii="Arial" w:eastAsia="Times New Roman" w:hAnsi="Arial" w:cs="Arial"/>
          <w:sz w:val="24"/>
          <w:szCs w:val="24"/>
        </w:rPr>
        <w:t xml:space="preserve"> </w:t>
      </w:r>
    </w:p>
    <w:p w14:paraId="7CF94AD3" w14:textId="1A96B07B" w:rsidR="003F2A5A" w:rsidRPr="00DA366B" w:rsidRDefault="004241C2"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t xml:space="preserve">Lee Ann Briggs, Nancy Herb &amp; Jeremy Hancher-PA, </w:t>
      </w:r>
    </w:p>
    <w:p w14:paraId="02B887C1" w14:textId="237026A3"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sidRPr="00DA366B">
        <w:rPr>
          <w:rFonts w:ascii="Arial" w:eastAsia="Times New Roman" w:hAnsi="Arial" w:cs="Arial"/>
          <w:sz w:val="24"/>
          <w:szCs w:val="24"/>
        </w:rPr>
        <w:t>4:</w:t>
      </w:r>
      <w:r w:rsidRPr="00DA366B">
        <w:rPr>
          <w:rFonts w:ascii="Arial" w:eastAsia="Times New Roman" w:hAnsi="Arial" w:cs="Arial"/>
          <w:sz w:val="24"/>
          <w:szCs w:val="24"/>
        </w:rPr>
        <w:tab/>
        <w:t xml:space="preserve">Tony Pendola </w:t>
      </w:r>
      <w:r w:rsidR="00335C6D" w:rsidRPr="00DA366B">
        <w:rPr>
          <w:rFonts w:ascii="Arial" w:eastAsia="Times New Roman" w:hAnsi="Arial" w:cs="Arial"/>
          <w:sz w:val="24"/>
          <w:szCs w:val="24"/>
        </w:rPr>
        <w:t>–</w:t>
      </w:r>
      <w:r w:rsidRPr="00DA366B">
        <w:rPr>
          <w:rFonts w:ascii="Arial" w:eastAsia="Times New Roman" w:hAnsi="Arial" w:cs="Arial"/>
          <w:sz w:val="24"/>
          <w:szCs w:val="24"/>
        </w:rPr>
        <w:t xml:space="preserve"> NC</w:t>
      </w:r>
      <w:r w:rsidR="007007A2">
        <w:rPr>
          <w:rFonts w:ascii="Arial" w:eastAsia="Times New Roman" w:hAnsi="Arial" w:cs="Arial"/>
          <w:sz w:val="24"/>
          <w:szCs w:val="24"/>
        </w:rPr>
        <w:t xml:space="preserve">, Donovan </w:t>
      </w:r>
      <w:proofErr w:type="spellStart"/>
      <w:r w:rsidR="007007A2">
        <w:rPr>
          <w:rFonts w:ascii="Arial" w:eastAsia="Times New Roman" w:hAnsi="Arial" w:cs="Arial"/>
          <w:sz w:val="24"/>
          <w:szCs w:val="24"/>
        </w:rPr>
        <w:t>Grimwood</w:t>
      </w:r>
      <w:proofErr w:type="spellEnd"/>
      <w:r w:rsidR="007007A2">
        <w:rPr>
          <w:rFonts w:ascii="Arial" w:eastAsia="Times New Roman" w:hAnsi="Arial" w:cs="Arial"/>
          <w:sz w:val="24"/>
          <w:szCs w:val="24"/>
        </w:rPr>
        <w:t xml:space="preserve"> – TN, </w:t>
      </w:r>
      <w:proofErr w:type="spellStart"/>
      <w:r w:rsidR="007007A2">
        <w:rPr>
          <w:rFonts w:ascii="Arial" w:eastAsia="Times New Roman" w:hAnsi="Arial" w:cs="Arial"/>
          <w:sz w:val="24"/>
          <w:szCs w:val="24"/>
        </w:rPr>
        <w:t>Trayce</w:t>
      </w:r>
      <w:proofErr w:type="spellEnd"/>
      <w:r w:rsidR="007007A2">
        <w:rPr>
          <w:rFonts w:ascii="Arial" w:eastAsia="Times New Roman" w:hAnsi="Arial" w:cs="Arial"/>
          <w:sz w:val="24"/>
          <w:szCs w:val="24"/>
        </w:rPr>
        <w:t xml:space="preserve"> Thomas–</w:t>
      </w:r>
      <w:r w:rsidR="00335C6D" w:rsidRPr="00DA366B">
        <w:rPr>
          <w:rFonts w:ascii="Arial" w:eastAsia="Times New Roman" w:hAnsi="Arial" w:cs="Arial"/>
          <w:sz w:val="24"/>
          <w:szCs w:val="24"/>
        </w:rPr>
        <w:t xml:space="preserve"> MS</w:t>
      </w:r>
      <w:r w:rsidR="007007A2">
        <w:rPr>
          <w:rFonts w:ascii="Arial" w:eastAsia="Times New Roman" w:hAnsi="Arial" w:cs="Arial"/>
          <w:sz w:val="24"/>
          <w:szCs w:val="24"/>
        </w:rPr>
        <w:t xml:space="preserve"> </w:t>
      </w:r>
    </w:p>
    <w:p w14:paraId="7C3C9767" w14:textId="3D39740A"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5:</w:t>
      </w:r>
      <w:r w:rsidRPr="00DA366B">
        <w:rPr>
          <w:rFonts w:ascii="Arial" w:eastAsia="Times New Roman" w:hAnsi="Arial" w:cs="Arial"/>
          <w:sz w:val="24"/>
          <w:szCs w:val="24"/>
        </w:rPr>
        <w:tab/>
      </w:r>
      <w:r w:rsidR="007007A2">
        <w:rPr>
          <w:rFonts w:ascii="Arial" w:eastAsia="Times New Roman" w:hAnsi="Arial" w:cs="Arial"/>
          <w:sz w:val="24"/>
          <w:szCs w:val="24"/>
        </w:rPr>
        <w:t xml:space="preserve">Lisa </w:t>
      </w:r>
      <w:proofErr w:type="spellStart"/>
      <w:r w:rsidR="007007A2">
        <w:rPr>
          <w:rFonts w:ascii="Arial" w:eastAsia="Times New Roman" w:hAnsi="Arial" w:cs="Arial"/>
          <w:sz w:val="24"/>
          <w:szCs w:val="24"/>
        </w:rPr>
        <w:t>Ashenbrenner</w:t>
      </w:r>
      <w:proofErr w:type="spellEnd"/>
      <w:r w:rsidR="00036B2F">
        <w:rPr>
          <w:rFonts w:ascii="Arial" w:eastAsia="Times New Roman" w:hAnsi="Arial" w:cs="Arial"/>
          <w:sz w:val="24"/>
          <w:szCs w:val="24"/>
        </w:rPr>
        <w:t xml:space="preserve"> &amp; Renee </w:t>
      </w:r>
      <w:proofErr w:type="spellStart"/>
      <w:r w:rsidR="00036B2F">
        <w:rPr>
          <w:rFonts w:ascii="Arial" w:eastAsia="Times New Roman" w:hAnsi="Arial" w:cs="Arial"/>
          <w:sz w:val="24"/>
          <w:szCs w:val="24"/>
        </w:rPr>
        <w:t>Bashel</w:t>
      </w:r>
      <w:proofErr w:type="spellEnd"/>
      <w:r w:rsidR="007007A2">
        <w:rPr>
          <w:rFonts w:ascii="Arial" w:eastAsia="Times New Roman" w:hAnsi="Arial" w:cs="Arial"/>
          <w:sz w:val="24"/>
          <w:szCs w:val="24"/>
        </w:rPr>
        <w:t xml:space="preserve"> – WI, Brent Goetz</w:t>
      </w:r>
      <w:r w:rsidR="004241C2">
        <w:rPr>
          <w:rFonts w:ascii="Arial" w:eastAsia="Times New Roman" w:hAnsi="Arial" w:cs="Arial"/>
          <w:sz w:val="24"/>
          <w:szCs w:val="24"/>
        </w:rPr>
        <w:t xml:space="preserve"> &amp; Todd Nein – OH, Jennifer Dixon-MI</w:t>
      </w:r>
      <w:r w:rsidRPr="00DA366B">
        <w:rPr>
          <w:rFonts w:ascii="Arial" w:eastAsia="Times New Roman" w:hAnsi="Arial" w:cs="Arial"/>
          <w:sz w:val="24"/>
          <w:szCs w:val="24"/>
        </w:rPr>
        <w:t xml:space="preserve"> </w:t>
      </w:r>
    </w:p>
    <w:p w14:paraId="3B8955A3" w14:textId="3FA13851" w:rsidR="003F2A5A"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6:</w:t>
      </w:r>
      <w:r w:rsidRPr="00DA366B">
        <w:rPr>
          <w:rFonts w:ascii="Arial" w:eastAsia="Times New Roman" w:hAnsi="Arial" w:cs="Arial"/>
          <w:sz w:val="24"/>
          <w:szCs w:val="24"/>
        </w:rPr>
        <w:tab/>
      </w:r>
      <w:r w:rsidR="00036B2F">
        <w:rPr>
          <w:rFonts w:ascii="Arial" w:eastAsia="Times New Roman" w:hAnsi="Arial" w:cs="Arial"/>
          <w:sz w:val="24"/>
          <w:szCs w:val="24"/>
        </w:rPr>
        <w:t>Dianne Wilkins-OK</w:t>
      </w:r>
    </w:p>
    <w:p w14:paraId="317E4D3F" w14:textId="40249926" w:rsidR="002D157E" w:rsidRDefault="002D157E"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036B2F">
        <w:rPr>
          <w:rFonts w:ascii="Arial" w:eastAsia="Times New Roman" w:hAnsi="Arial" w:cs="Arial"/>
          <w:sz w:val="24"/>
          <w:szCs w:val="24"/>
        </w:rPr>
        <w:t>Barb Goode</w:t>
      </w:r>
      <w:r>
        <w:rPr>
          <w:rFonts w:ascii="Arial" w:eastAsia="Times New Roman" w:hAnsi="Arial" w:cs="Arial"/>
          <w:sz w:val="24"/>
          <w:szCs w:val="24"/>
        </w:rPr>
        <w:t>– KS</w:t>
      </w:r>
    </w:p>
    <w:p w14:paraId="44435BC8" w14:textId="330DFC91" w:rsidR="002D157E" w:rsidRDefault="002D157E"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9:</w:t>
      </w:r>
      <w:r>
        <w:rPr>
          <w:rFonts w:ascii="Arial" w:eastAsia="Times New Roman" w:hAnsi="Arial" w:cs="Arial"/>
          <w:sz w:val="24"/>
          <w:szCs w:val="24"/>
        </w:rPr>
        <w:tab/>
        <w:t>Jenna Latt – CA</w:t>
      </w:r>
    </w:p>
    <w:p w14:paraId="62A7A9A9" w14:textId="79B66575" w:rsidR="002D157E" w:rsidRPr="00DA366B" w:rsidRDefault="002D157E"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p>
    <w:p w14:paraId="1EA72B81" w14:textId="77777777" w:rsidR="0053121C" w:rsidRPr="00DA366B" w:rsidRDefault="0053121C"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
          <w:bCs/>
          <w:sz w:val="24"/>
          <w:szCs w:val="24"/>
        </w:rPr>
      </w:pPr>
    </w:p>
    <w:p w14:paraId="0E3CACD0" w14:textId="1D4B927C" w:rsidR="000A0F9E" w:rsidRPr="00DA366B" w:rsidRDefault="00776173"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r>
        <w:rPr>
          <w:rFonts w:ascii="Arial" w:hAnsi="Arial" w:cs="Arial"/>
          <w:b/>
          <w:bCs/>
          <w:sz w:val="24"/>
          <w:szCs w:val="24"/>
        </w:rPr>
        <w:t>August</w:t>
      </w:r>
      <w:r w:rsidR="00482CD6" w:rsidRPr="00DA366B">
        <w:rPr>
          <w:rFonts w:ascii="Arial" w:hAnsi="Arial" w:cs="Arial"/>
          <w:b/>
          <w:bCs/>
          <w:sz w:val="24"/>
          <w:szCs w:val="24"/>
        </w:rPr>
        <w:t xml:space="preserve"> </w:t>
      </w:r>
      <w:r w:rsidR="000D39D2" w:rsidRPr="00DA366B">
        <w:rPr>
          <w:rFonts w:ascii="Arial" w:hAnsi="Arial" w:cs="Arial"/>
          <w:b/>
          <w:bCs/>
          <w:sz w:val="24"/>
          <w:szCs w:val="24"/>
        </w:rPr>
        <w:t>minutes</w:t>
      </w:r>
      <w:r w:rsidR="00A37FFC" w:rsidRPr="00DA366B">
        <w:rPr>
          <w:rFonts w:ascii="Arial" w:hAnsi="Arial" w:cs="Arial"/>
          <w:b/>
          <w:bCs/>
          <w:sz w:val="24"/>
          <w:szCs w:val="24"/>
        </w:rPr>
        <w:t>:</w:t>
      </w:r>
      <w:r w:rsidR="00A37FFC" w:rsidRPr="00DA366B">
        <w:rPr>
          <w:rFonts w:ascii="Arial" w:hAnsi="Arial" w:cs="Arial"/>
          <w:bCs/>
          <w:sz w:val="24"/>
          <w:szCs w:val="24"/>
        </w:rPr>
        <w:t xml:space="preserve">  </w:t>
      </w:r>
      <w:r w:rsidR="0055288A" w:rsidRPr="00DA366B">
        <w:rPr>
          <w:rFonts w:ascii="Arial" w:hAnsi="Arial" w:cs="Arial"/>
          <w:bCs/>
          <w:sz w:val="24"/>
          <w:szCs w:val="24"/>
        </w:rPr>
        <w:t>approved as is</w:t>
      </w:r>
    </w:p>
    <w:p w14:paraId="48BE5CD6" w14:textId="77777777" w:rsidR="0009264C" w:rsidRPr="00DA366B" w:rsidRDefault="0009264C"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p>
    <w:bookmarkEnd w:id="0"/>
    <w:bookmarkEnd w:id="1"/>
    <w:bookmarkEnd w:id="2"/>
    <w:bookmarkEnd w:id="3"/>
    <w:p w14:paraId="49FC5D33" w14:textId="65040D39" w:rsidR="003F2A5A" w:rsidRDefault="003F2A5A" w:rsidP="006018BB">
      <w:pPr>
        <w:jc w:val="center"/>
        <w:rPr>
          <w:rFonts w:ascii="Arial" w:eastAsia="Times New Roman" w:hAnsi="Arial" w:cs="Arial"/>
          <w:b/>
          <w:color w:val="000000"/>
          <w:sz w:val="28"/>
          <w:szCs w:val="28"/>
        </w:rPr>
      </w:pPr>
      <w:r w:rsidRPr="006018BB">
        <w:rPr>
          <w:rFonts w:ascii="Arial" w:eastAsia="Times New Roman" w:hAnsi="Arial" w:cs="Arial"/>
          <w:b/>
          <w:color w:val="000000"/>
          <w:sz w:val="28"/>
          <w:szCs w:val="28"/>
        </w:rPr>
        <w:t xml:space="preserve">Roundtable/Open Discussion: </w:t>
      </w:r>
      <w:r w:rsidR="00CC1628">
        <w:rPr>
          <w:rFonts w:ascii="Arial" w:eastAsia="Times New Roman" w:hAnsi="Arial" w:cs="Arial"/>
          <w:b/>
          <w:color w:val="000000"/>
          <w:sz w:val="28"/>
          <w:szCs w:val="28"/>
        </w:rPr>
        <w:t xml:space="preserve">Review of EO 13777 Recommendations </w:t>
      </w:r>
      <w:r w:rsidR="00B661EA">
        <w:rPr>
          <w:rFonts w:ascii="Arial" w:eastAsia="Times New Roman" w:hAnsi="Arial" w:cs="Arial"/>
          <w:b/>
          <w:color w:val="000000"/>
          <w:sz w:val="28"/>
          <w:szCs w:val="28"/>
        </w:rPr>
        <w:t xml:space="preserve">&amp; </w:t>
      </w:r>
      <w:r w:rsidR="00CC1628">
        <w:rPr>
          <w:rFonts w:ascii="Arial" w:eastAsia="Times New Roman" w:hAnsi="Arial" w:cs="Arial"/>
          <w:b/>
          <w:color w:val="000000"/>
          <w:sz w:val="28"/>
          <w:szCs w:val="28"/>
        </w:rPr>
        <w:t>Ideas for Implementation</w:t>
      </w:r>
    </w:p>
    <w:p w14:paraId="1CDFF67C" w14:textId="0778609C" w:rsidR="00DC79D3" w:rsidRDefault="00CC1628" w:rsidP="00CC1628">
      <w:pPr>
        <w:rPr>
          <w:rFonts w:ascii="Arial" w:eastAsia="Times New Roman" w:hAnsi="Arial" w:cs="Arial"/>
          <w:color w:val="000000"/>
          <w:sz w:val="24"/>
          <w:szCs w:val="24"/>
        </w:rPr>
      </w:pPr>
      <w:r w:rsidRPr="00DC79D3">
        <w:rPr>
          <w:rFonts w:ascii="Arial" w:eastAsia="Times New Roman" w:hAnsi="Arial" w:cs="Arial"/>
          <w:b/>
          <w:color w:val="000000"/>
          <w:sz w:val="24"/>
          <w:szCs w:val="24"/>
        </w:rPr>
        <w:t>Overview:</w:t>
      </w:r>
      <w:r>
        <w:rPr>
          <w:rFonts w:ascii="Arial" w:eastAsia="Times New Roman" w:hAnsi="Arial" w:cs="Arial"/>
          <w:color w:val="000000"/>
          <w:sz w:val="24"/>
          <w:szCs w:val="24"/>
        </w:rPr>
        <w:t xml:space="preserve"> The purpose of this exercise was to prepare for when/if we are asked about comments made in our response to EO 13777</w:t>
      </w:r>
      <w:r w:rsidR="00DC79D3">
        <w:rPr>
          <w:rFonts w:ascii="Arial" w:eastAsia="Times New Roman" w:hAnsi="Arial" w:cs="Arial"/>
          <w:color w:val="000000"/>
          <w:sz w:val="24"/>
          <w:szCs w:val="24"/>
        </w:rPr>
        <w:t xml:space="preserve">.  We want to be prepared to advise with ideas for implementation.  The goal of the meeting minutes </w:t>
      </w:r>
      <w:proofErr w:type="gramStart"/>
      <w:r w:rsidR="00DC79D3">
        <w:rPr>
          <w:rFonts w:ascii="Arial" w:eastAsia="Times New Roman" w:hAnsi="Arial" w:cs="Arial"/>
          <w:color w:val="000000"/>
          <w:sz w:val="24"/>
          <w:szCs w:val="24"/>
        </w:rPr>
        <w:t>are</w:t>
      </w:r>
      <w:proofErr w:type="gramEnd"/>
      <w:r w:rsidR="00DC79D3">
        <w:rPr>
          <w:rFonts w:ascii="Arial" w:eastAsia="Times New Roman" w:hAnsi="Arial" w:cs="Arial"/>
          <w:color w:val="000000"/>
          <w:sz w:val="24"/>
          <w:szCs w:val="24"/>
        </w:rPr>
        <w:t xml:space="preserve"> to serve as a record of what our discussions were.  The minutes will go through each comment that we made in the May 15, 2017 letter referencing each comment by number</w:t>
      </w:r>
      <w:r w:rsidR="00AC29BD">
        <w:rPr>
          <w:rFonts w:ascii="Arial" w:eastAsia="Times New Roman" w:hAnsi="Arial" w:cs="Arial"/>
          <w:color w:val="000000"/>
          <w:sz w:val="24"/>
          <w:szCs w:val="24"/>
        </w:rPr>
        <w:t>/general heading</w:t>
      </w:r>
      <w:r w:rsidR="00DC79D3">
        <w:rPr>
          <w:rFonts w:ascii="Arial" w:eastAsia="Times New Roman" w:hAnsi="Arial" w:cs="Arial"/>
          <w:color w:val="000000"/>
          <w:sz w:val="24"/>
          <w:szCs w:val="24"/>
        </w:rPr>
        <w:t xml:space="preserve">.  </w:t>
      </w:r>
    </w:p>
    <w:p w14:paraId="6984AC32" w14:textId="670D39FA" w:rsidR="00AC29BD" w:rsidRDefault="00AC29BD" w:rsidP="00AC29BD">
      <w:pPr>
        <w:pStyle w:val="ListParagraph"/>
        <w:numPr>
          <w:ilvl w:val="0"/>
          <w:numId w:val="32"/>
        </w:numPr>
        <w:rPr>
          <w:rFonts w:ascii="Arial" w:hAnsi="Arial" w:cs="Arial"/>
          <w:color w:val="000000"/>
          <w:sz w:val="24"/>
          <w:szCs w:val="24"/>
        </w:rPr>
      </w:pPr>
      <w:r w:rsidRPr="00AC29BD">
        <w:rPr>
          <w:rFonts w:ascii="Arial" w:hAnsi="Arial" w:cs="Arial"/>
          <w:color w:val="000000"/>
          <w:sz w:val="24"/>
          <w:szCs w:val="24"/>
          <w:u w:val="single"/>
        </w:rPr>
        <w:t>Integrating Enforcement and Compliance Assistance</w:t>
      </w:r>
      <w:r>
        <w:rPr>
          <w:rFonts w:ascii="Arial" w:hAnsi="Arial" w:cs="Arial"/>
          <w:color w:val="000000"/>
          <w:sz w:val="24"/>
          <w:szCs w:val="24"/>
        </w:rPr>
        <w:t xml:space="preserve">-  </w:t>
      </w:r>
      <w:r w:rsidR="00A667F3">
        <w:rPr>
          <w:rFonts w:ascii="Arial" w:hAnsi="Arial" w:cs="Arial"/>
          <w:color w:val="000000"/>
          <w:sz w:val="24"/>
          <w:szCs w:val="24"/>
        </w:rPr>
        <w:t>Th</w:t>
      </w:r>
      <w:r w:rsidR="00810A57">
        <w:rPr>
          <w:rFonts w:ascii="Arial" w:hAnsi="Arial" w:cs="Arial"/>
          <w:color w:val="000000"/>
          <w:sz w:val="24"/>
          <w:szCs w:val="24"/>
        </w:rPr>
        <w:t xml:space="preserve">is comment explained the approach within the comment itself, no additional explanation is needed. </w:t>
      </w:r>
    </w:p>
    <w:p w14:paraId="0176177F" w14:textId="0DC13A15" w:rsidR="00810A57" w:rsidRDefault="00810A57" w:rsidP="00AC29BD">
      <w:pPr>
        <w:pStyle w:val="ListParagraph"/>
        <w:numPr>
          <w:ilvl w:val="0"/>
          <w:numId w:val="32"/>
        </w:numPr>
        <w:rPr>
          <w:rFonts w:ascii="Arial" w:hAnsi="Arial" w:cs="Arial"/>
          <w:color w:val="000000"/>
          <w:sz w:val="24"/>
          <w:szCs w:val="24"/>
        </w:rPr>
      </w:pPr>
      <w:r>
        <w:rPr>
          <w:rFonts w:ascii="Arial" w:hAnsi="Arial" w:cs="Arial"/>
          <w:color w:val="000000"/>
          <w:sz w:val="24"/>
          <w:szCs w:val="24"/>
          <w:u w:val="single"/>
        </w:rPr>
        <w:t>Once in, Always In</w:t>
      </w:r>
      <w:r w:rsidRPr="00810A57">
        <w:rPr>
          <w:rFonts w:ascii="Arial" w:hAnsi="Arial" w:cs="Arial"/>
          <w:color w:val="000000"/>
          <w:sz w:val="24"/>
          <w:szCs w:val="24"/>
        </w:rPr>
        <w:t>-</w:t>
      </w:r>
      <w:r>
        <w:rPr>
          <w:rFonts w:ascii="Arial" w:hAnsi="Arial" w:cs="Arial"/>
          <w:color w:val="000000"/>
          <w:sz w:val="24"/>
          <w:szCs w:val="24"/>
        </w:rPr>
        <w:t xml:space="preserve"> Tony explained that this is the result of confusion created by the USEPA trying to change a policy with a rule.  His suggestion was to change the policy.  </w:t>
      </w:r>
    </w:p>
    <w:p w14:paraId="48DDEABB" w14:textId="35485E42" w:rsidR="00810A57" w:rsidRDefault="00810A57" w:rsidP="00AC29BD">
      <w:pPr>
        <w:pStyle w:val="ListParagraph"/>
        <w:numPr>
          <w:ilvl w:val="0"/>
          <w:numId w:val="32"/>
        </w:numPr>
        <w:rPr>
          <w:rFonts w:ascii="Arial" w:hAnsi="Arial" w:cs="Arial"/>
          <w:color w:val="000000"/>
          <w:sz w:val="24"/>
          <w:szCs w:val="24"/>
        </w:rPr>
      </w:pPr>
      <w:r>
        <w:rPr>
          <w:rFonts w:ascii="Arial" w:hAnsi="Arial" w:cs="Arial"/>
          <w:color w:val="000000"/>
          <w:sz w:val="24"/>
          <w:szCs w:val="24"/>
          <w:u w:val="single"/>
        </w:rPr>
        <w:t>Use of PTE for Small Businesses</w:t>
      </w:r>
      <w:r w:rsidRPr="00810A57">
        <w:rPr>
          <w:rFonts w:ascii="Arial" w:hAnsi="Arial" w:cs="Arial"/>
          <w:color w:val="000000"/>
          <w:sz w:val="24"/>
          <w:szCs w:val="24"/>
        </w:rPr>
        <w:t>-</w:t>
      </w:r>
      <w:r>
        <w:rPr>
          <w:rFonts w:ascii="Arial" w:hAnsi="Arial" w:cs="Arial"/>
          <w:color w:val="000000"/>
          <w:sz w:val="24"/>
          <w:szCs w:val="24"/>
        </w:rPr>
        <w:t xml:space="preserve"> </w:t>
      </w:r>
      <w:r w:rsidR="00BA6D11">
        <w:rPr>
          <w:rFonts w:ascii="Arial" w:hAnsi="Arial" w:cs="Arial"/>
          <w:color w:val="000000"/>
          <w:sz w:val="24"/>
          <w:szCs w:val="24"/>
        </w:rPr>
        <w:t xml:space="preserve">The USEAP should clarify and provide guidance on the 1995 memo </w:t>
      </w:r>
      <w:r w:rsidR="00BA6D11" w:rsidRPr="00BA6D11">
        <w:rPr>
          <w:rFonts w:ascii="Arial" w:hAnsi="Arial" w:cs="Arial"/>
          <w:i/>
          <w:color w:val="000000"/>
          <w:sz w:val="24"/>
          <w:szCs w:val="24"/>
        </w:rPr>
        <w:t>Options for Limiting the Potential to Emit (PTE) of a Stationary Source Under Section 112 and Title V of the Clean Air Act</w:t>
      </w:r>
      <w:r w:rsidR="00BA6D11">
        <w:rPr>
          <w:rFonts w:ascii="Arial" w:hAnsi="Arial" w:cs="Arial"/>
          <w:color w:val="000000"/>
          <w:sz w:val="24"/>
          <w:szCs w:val="24"/>
        </w:rPr>
        <w:t xml:space="preserve">, dated January 25, 1995. </w:t>
      </w:r>
    </w:p>
    <w:p w14:paraId="3454DE1F" w14:textId="3E8831AD" w:rsidR="00BA6D11" w:rsidRDefault="00BA6D11" w:rsidP="00AC29BD">
      <w:pPr>
        <w:pStyle w:val="ListParagraph"/>
        <w:numPr>
          <w:ilvl w:val="0"/>
          <w:numId w:val="32"/>
        </w:numPr>
        <w:rPr>
          <w:rFonts w:ascii="Arial" w:hAnsi="Arial" w:cs="Arial"/>
          <w:color w:val="000000"/>
          <w:sz w:val="24"/>
          <w:szCs w:val="24"/>
        </w:rPr>
      </w:pPr>
      <w:r>
        <w:rPr>
          <w:rFonts w:ascii="Arial" w:hAnsi="Arial" w:cs="Arial"/>
          <w:color w:val="000000"/>
          <w:sz w:val="24"/>
          <w:szCs w:val="24"/>
          <w:u w:val="single"/>
        </w:rPr>
        <w:t>General Comments on Electronic Reporting</w:t>
      </w:r>
      <w:r w:rsidRPr="00BA6D11">
        <w:rPr>
          <w:rFonts w:ascii="Arial" w:hAnsi="Arial" w:cs="Arial"/>
          <w:color w:val="000000"/>
          <w:sz w:val="24"/>
          <w:szCs w:val="24"/>
        </w:rPr>
        <w:t>-</w:t>
      </w:r>
      <w:r>
        <w:rPr>
          <w:rFonts w:ascii="Arial" w:hAnsi="Arial" w:cs="Arial"/>
          <w:color w:val="000000"/>
          <w:sz w:val="24"/>
          <w:szCs w:val="24"/>
        </w:rPr>
        <w:t xml:space="preserve"> It is common practice to add the electronic reporting requirement into every new rule.  The suggestion is to discontinue making it a requirement or provide some sort of easy alternative to those who cannot electronically report. </w:t>
      </w:r>
    </w:p>
    <w:p w14:paraId="0DB9B6EF" w14:textId="560A5A78" w:rsidR="00023D1D" w:rsidRDefault="00BA6D11" w:rsidP="00AC29BD">
      <w:pPr>
        <w:pStyle w:val="ListParagraph"/>
        <w:numPr>
          <w:ilvl w:val="0"/>
          <w:numId w:val="32"/>
        </w:numPr>
        <w:rPr>
          <w:rFonts w:ascii="Arial" w:hAnsi="Arial" w:cs="Arial"/>
          <w:color w:val="000000"/>
          <w:sz w:val="24"/>
          <w:szCs w:val="24"/>
        </w:rPr>
      </w:pPr>
      <w:r>
        <w:rPr>
          <w:rFonts w:ascii="Arial" w:hAnsi="Arial" w:cs="Arial"/>
          <w:color w:val="000000"/>
          <w:sz w:val="24"/>
          <w:szCs w:val="24"/>
          <w:u w:val="single"/>
        </w:rPr>
        <w:t>Paint Stripping/Miscellaneous Surface Coating NESHAP (6H)</w:t>
      </w:r>
      <w:r w:rsidRPr="00BA6D11">
        <w:rPr>
          <w:rFonts w:ascii="Arial" w:hAnsi="Arial" w:cs="Arial"/>
          <w:color w:val="000000"/>
          <w:sz w:val="24"/>
          <w:szCs w:val="24"/>
        </w:rPr>
        <w:t>-</w:t>
      </w:r>
      <w:r>
        <w:rPr>
          <w:rFonts w:ascii="Arial" w:hAnsi="Arial" w:cs="Arial"/>
          <w:color w:val="000000"/>
          <w:sz w:val="24"/>
          <w:szCs w:val="24"/>
        </w:rPr>
        <w:t xml:space="preserve"> either eliminate the portion of the rule that includes body shops or advertise/encourage the use of the exemption written into the rule.  </w:t>
      </w:r>
      <w:r w:rsidR="00D8708F">
        <w:rPr>
          <w:rFonts w:ascii="Arial" w:hAnsi="Arial" w:cs="Arial"/>
          <w:color w:val="000000"/>
          <w:sz w:val="24"/>
          <w:szCs w:val="24"/>
        </w:rPr>
        <w:t>There is concern from the regulated community that the exemption notification may be a red flag and could trigger inspections or other activities, some effort could be made to minimize this</w:t>
      </w:r>
      <w:r>
        <w:rPr>
          <w:rFonts w:ascii="Arial" w:hAnsi="Arial" w:cs="Arial"/>
          <w:color w:val="000000"/>
          <w:sz w:val="24"/>
          <w:szCs w:val="24"/>
        </w:rPr>
        <w:t>.  Additionally, it is common practice for some regions to send out a letter based on just a compliant, without any form of inspection.  These letters are ty</w:t>
      </w:r>
      <w:bookmarkStart w:id="4" w:name="_GoBack"/>
      <w:bookmarkEnd w:id="4"/>
      <w:r>
        <w:rPr>
          <w:rFonts w:ascii="Arial" w:hAnsi="Arial" w:cs="Arial"/>
          <w:color w:val="000000"/>
          <w:sz w:val="24"/>
          <w:szCs w:val="24"/>
        </w:rPr>
        <w:t xml:space="preserve">pically </w:t>
      </w:r>
      <w:r>
        <w:rPr>
          <w:rFonts w:ascii="Arial" w:hAnsi="Arial" w:cs="Arial"/>
          <w:color w:val="000000"/>
          <w:sz w:val="24"/>
          <w:szCs w:val="24"/>
        </w:rPr>
        <w:lastRenderedPageBreak/>
        <w:t>written in a threatening/scary tone, it is recommended that this practice is modified or discontinued.</w:t>
      </w:r>
    </w:p>
    <w:p w14:paraId="57E43740" w14:textId="77777777" w:rsidR="00023D1D" w:rsidRDefault="00023D1D" w:rsidP="00AC29BD">
      <w:pPr>
        <w:pStyle w:val="ListParagraph"/>
        <w:numPr>
          <w:ilvl w:val="0"/>
          <w:numId w:val="32"/>
        </w:numPr>
        <w:rPr>
          <w:rFonts w:ascii="Arial" w:hAnsi="Arial" w:cs="Arial"/>
          <w:color w:val="000000"/>
          <w:sz w:val="24"/>
          <w:szCs w:val="24"/>
        </w:rPr>
      </w:pPr>
      <w:r>
        <w:rPr>
          <w:rFonts w:ascii="Arial" w:hAnsi="Arial" w:cs="Arial"/>
          <w:color w:val="000000"/>
          <w:sz w:val="24"/>
          <w:szCs w:val="24"/>
          <w:u w:val="single"/>
        </w:rPr>
        <w:t>One Industry Multiple Regulations</w:t>
      </w:r>
      <w:r w:rsidRPr="00023D1D">
        <w:rPr>
          <w:rFonts w:ascii="Arial" w:hAnsi="Arial" w:cs="Arial"/>
          <w:color w:val="000000"/>
          <w:sz w:val="24"/>
          <w:szCs w:val="24"/>
        </w:rPr>
        <w:t>-</w:t>
      </w:r>
      <w:r>
        <w:rPr>
          <w:rFonts w:ascii="Arial" w:hAnsi="Arial" w:cs="Arial"/>
          <w:color w:val="000000"/>
          <w:sz w:val="24"/>
          <w:szCs w:val="24"/>
        </w:rPr>
        <w:t xml:space="preserve"> This comment explains the approach within the comment itself</w:t>
      </w:r>
    </w:p>
    <w:p w14:paraId="70063328" w14:textId="77777777" w:rsidR="00023D1D" w:rsidRDefault="00023D1D" w:rsidP="00AC29BD">
      <w:pPr>
        <w:pStyle w:val="ListParagraph"/>
        <w:numPr>
          <w:ilvl w:val="0"/>
          <w:numId w:val="32"/>
        </w:numPr>
        <w:rPr>
          <w:rFonts w:ascii="Arial" w:hAnsi="Arial" w:cs="Arial"/>
          <w:color w:val="000000"/>
          <w:sz w:val="24"/>
          <w:szCs w:val="24"/>
        </w:rPr>
      </w:pPr>
      <w:r>
        <w:rPr>
          <w:rFonts w:ascii="Arial" w:hAnsi="Arial" w:cs="Arial"/>
          <w:color w:val="000000"/>
          <w:sz w:val="24"/>
          <w:szCs w:val="24"/>
          <w:u w:val="single"/>
        </w:rPr>
        <w:t>Excessive, Redundant, and Burdensome Recordkeeping Requirements</w:t>
      </w:r>
      <w:r w:rsidRPr="00023D1D">
        <w:rPr>
          <w:rFonts w:ascii="Arial" w:hAnsi="Arial" w:cs="Arial"/>
          <w:color w:val="000000"/>
          <w:sz w:val="24"/>
          <w:szCs w:val="24"/>
        </w:rPr>
        <w:t>-</w:t>
      </w:r>
      <w:r>
        <w:rPr>
          <w:rFonts w:ascii="Arial" w:hAnsi="Arial" w:cs="Arial"/>
          <w:color w:val="000000"/>
          <w:sz w:val="24"/>
          <w:szCs w:val="24"/>
        </w:rPr>
        <w:t xml:space="preserve"> There are many requirements throughout the rules, one good example is with drycleaners and a record keeping/testing requirement that applies to very few facilities.  There could be a process within the USEPA programs to seek out these requirements or reach out to businesses for input.  </w:t>
      </w:r>
    </w:p>
    <w:p w14:paraId="1EEA0B27" w14:textId="77777777" w:rsidR="00023D1D" w:rsidRDefault="00023D1D" w:rsidP="00AC29BD">
      <w:pPr>
        <w:pStyle w:val="ListParagraph"/>
        <w:numPr>
          <w:ilvl w:val="0"/>
          <w:numId w:val="32"/>
        </w:numPr>
        <w:rPr>
          <w:rFonts w:ascii="Arial" w:hAnsi="Arial" w:cs="Arial"/>
          <w:color w:val="000000"/>
          <w:sz w:val="24"/>
          <w:szCs w:val="24"/>
        </w:rPr>
      </w:pPr>
      <w:r>
        <w:rPr>
          <w:rFonts w:ascii="Arial" w:hAnsi="Arial" w:cs="Arial"/>
          <w:color w:val="000000"/>
          <w:sz w:val="24"/>
          <w:szCs w:val="24"/>
          <w:u w:val="single"/>
        </w:rPr>
        <w:t>Encouragement of States Use of Small Business Audit Policies</w:t>
      </w:r>
      <w:r w:rsidRPr="00023D1D">
        <w:rPr>
          <w:rFonts w:ascii="Arial" w:hAnsi="Arial" w:cs="Arial"/>
          <w:color w:val="000000"/>
          <w:sz w:val="24"/>
          <w:szCs w:val="24"/>
        </w:rPr>
        <w:t>-</w:t>
      </w:r>
      <w:r>
        <w:rPr>
          <w:rFonts w:ascii="Arial" w:hAnsi="Arial" w:cs="Arial"/>
          <w:color w:val="000000"/>
          <w:sz w:val="24"/>
          <w:szCs w:val="24"/>
        </w:rPr>
        <w:t xml:space="preserve"> work to create more of these types of policies in the rules.  Could expand on comment one by tying this to compliance assistance programs.  </w:t>
      </w:r>
    </w:p>
    <w:p w14:paraId="2624C6E8" w14:textId="77777777" w:rsidR="00023D1D" w:rsidRDefault="00023D1D" w:rsidP="00AC29BD">
      <w:pPr>
        <w:pStyle w:val="ListParagraph"/>
        <w:numPr>
          <w:ilvl w:val="0"/>
          <w:numId w:val="32"/>
        </w:numPr>
        <w:rPr>
          <w:rFonts w:ascii="Arial" w:hAnsi="Arial" w:cs="Arial"/>
          <w:color w:val="000000"/>
          <w:sz w:val="24"/>
          <w:szCs w:val="24"/>
        </w:rPr>
      </w:pPr>
      <w:r>
        <w:rPr>
          <w:rFonts w:ascii="Arial" w:hAnsi="Arial" w:cs="Arial"/>
          <w:color w:val="000000"/>
          <w:sz w:val="24"/>
          <w:szCs w:val="24"/>
          <w:u w:val="single"/>
        </w:rPr>
        <w:t>Compiling Regulations with Multiple Amendments</w:t>
      </w:r>
      <w:r w:rsidRPr="00023D1D">
        <w:rPr>
          <w:rFonts w:ascii="Arial" w:hAnsi="Arial" w:cs="Arial"/>
          <w:color w:val="000000"/>
          <w:sz w:val="24"/>
          <w:szCs w:val="24"/>
        </w:rPr>
        <w:t>-</w:t>
      </w:r>
      <w:r>
        <w:rPr>
          <w:rFonts w:ascii="Arial" w:hAnsi="Arial" w:cs="Arial"/>
          <w:color w:val="000000"/>
          <w:sz w:val="24"/>
          <w:szCs w:val="24"/>
        </w:rPr>
        <w:t xml:space="preserve"> Change the CFR that requires this format for rules.  Changes should be made moving forward when writing/rewriting rules. </w:t>
      </w:r>
    </w:p>
    <w:p w14:paraId="09E69723" w14:textId="11A4AC42" w:rsidR="00BA6D11" w:rsidRDefault="00023D1D" w:rsidP="00AC29BD">
      <w:pPr>
        <w:pStyle w:val="ListParagraph"/>
        <w:numPr>
          <w:ilvl w:val="0"/>
          <w:numId w:val="32"/>
        </w:numPr>
        <w:rPr>
          <w:rFonts w:ascii="Arial" w:hAnsi="Arial" w:cs="Arial"/>
          <w:color w:val="000000"/>
          <w:sz w:val="24"/>
          <w:szCs w:val="24"/>
        </w:rPr>
      </w:pPr>
      <w:r>
        <w:rPr>
          <w:rFonts w:ascii="Arial" w:hAnsi="Arial" w:cs="Arial"/>
          <w:color w:val="000000"/>
          <w:sz w:val="24"/>
          <w:szCs w:val="24"/>
          <w:u w:val="single"/>
        </w:rPr>
        <w:t>40 CFR Part 63 Subpart XXXXXX Metal Fabrication and Finishing Source Categories</w:t>
      </w:r>
      <w:r w:rsidRPr="00023D1D">
        <w:rPr>
          <w:rFonts w:ascii="Arial" w:hAnsi="Arial" w:cs="Arial"/>
          <w:color w:val="000000"/>
          <w:sz w:val="24"/>
          <w:szCs w:val="24"/>
        </w:rPr>
        <w:t>-</w:t>
      </w:r>
      <w:r>
        <w:rPr>
          <w:rFonts w:ascii="Arial" w:hAnsi="Arial" w:cs="Arial"/>
          <w:color w:val="000000"/>
          <w:sz w:val="24"/>
          <w:szCs w:val="24"/>
        </w:rPr>
        <w:t xml:space="preserve"> </w:t>
      </w:r>
      <w:r w:rsidR="00BA6D11">
        <w:rPr>
          <w:rFonts w:ascii="Arial" w:hAnsi="Arial" w:cs="Arial"/>
          <w:color w:val="000000"/>
          <w:sz w:val="24"/>
          <w:szCs w:val="24"/>
        </w:rPr>
        <w:t xml:space="preserve"> </w:t>
      </w:r>
      <w:r>
        <w:rPr>
          <w:rFonts w:ascii="Arial" w:hAnsi="Arial" w:cs="Arial"/>
          <w:color w:val="000000"/>
          <w:sz w:val="24"/>
          <w:szCs w:val="24"/>
        </w:rPr>
        <w:t xml:space="preserve">Remove </w:t>
      </w:r>
      <w:r w:rsidR="003202AB">
        <w:rPr>
          <w:rFonts w:ascii="Arial" w:hAnsi="Arial" w:cs="Arial"/>
          <w:color w:val="000000"/>
          <w:sz w:val="24"/>
          <w:szCs w:val="24"/>
        </w:rPr>
        <w:t xml:space="preserve">or decrease the monitoring of visual emissions through a rule change. </w:t>
      </w:r>
    </w:p>
    <w:p w14:paraId="75710CDB" w14:textId="141A8D6E" w:rsidR="003202AB" w:rsidRDefault="003202AB" w:rsidP="00AC29BD">
      <w:pPr>
        <w:pStyle w:val="ListParagraph"/>
        <w:numPr>
          <w:ilvl w:val="0"/>
          <w:numId w:val="32"/>
        </w:numPr>
        <w:rPr>
          <w:rFonts w:ascii="Arial" w:hAnsi="Arial" w:cs="Arial"/>
          <w:color w:val="000000"/>
          <w:sz w:val="24"/>
          <w:szCs w:val="24"/>
        </w:rPr>
      </w:pPr>
      <w:r>
        <w:rPr>
          <w:rFonts w:ascii="Arial" w:hAnsi="Arial" w:cs="Arial"/>
          <w:color w:val="000000"/>
          <w:sz w:val="24"/>
          <w:szCs w:val="24"/>
          <w:u w:val="single"/>
        </w:rPr>
        <w:t>40 CFR Part 60 Subpart JJJ Petroleum Dry Cleaners</w:t>
      </w:r>
      <w:r w:rsidRPr="003202AB">
        <w:rPr>
          <w:rFonts w:ascii="Arial" w:hAnsi="Arial" w:cs="Arial"/>
          <w:color w:val="000000"/>
          <w:sz w:val="24"/>
          <w:szCs w:val="24"/>
        </w:rPr>
        <w:t>-</w:t>
      </w:r>
      <w:r>
        <w:rPr>
          <w:rFonts w:ascii="Arial" w:hAnsi="Arial" w:cs="Arial"/>
          <w:color w:val="000000"/>
          <w:sz w:val="24"/>
          <w:szCs w:val="24"/>
        </w:rPr>
        <w:t xml:space="preserve"> Rule change to make the definition of a drycleaner in the rule match the November 17, 2015 interpretation by Region 4. </w:t>
      </w:r>
    </w:p>
    <w:p w14:paraId="59B07D0A" w14:textId="651E299F" w:rsidR="003202AB" w:rsidRDefault="003202AB" w:rsidP="00AC29BD">
      <w:pPr>
        <w:pStyle w:val="ListParagraph"/>
        <w:numPr>
          <w:ilvl w:val="0"/>
          <w:numId w:val="32"/>
        </w:numPr>
        <w:rPr>
          <w:rFonts w:ascii="Arial" w:hAnsi="Arial" w:cs="Arial"/>
          <w:color w:val="000000"/>
          <w:sz w:val="24"/>
          <w:szCs w:val="24"/>
        </w:rPr>
      </w:pPr>
      <w:r>
        <w:rPr>
          <w:rFonts w:ascii="Arial" w:hAnsi="Arial" w:cs="Arial"/>
          <w:color w:val="000000"/>
          <w:sz w:val="24"/>
          <w:szCs w:val="24"/>
          <w:u w:val="single"/>
        </w:rPr>
        <w:t>Small Business Regulatory Enforcement Fairness Act (SBREFA) and Regulatory Fairness Act (RFA) Application to Area Source NESHAP Regulations</w:t>
      </w:r>
      <w:r w:rsidRPr="003202AB">
        <w:rPr>
          <w:rFonts w:ascii="Arial" w:hAnsi="Arial" w:cs="Arial"/>
          <w:color w:val="000000"/>
          <w:sz w:val="24"/>
          <w:szCs w:val="24"/>
        </w:rPr>
        <w:t>-</w:t>
      </w:r>
      <w:r>
        <w:rPr>
          <w:rFonts w:ascii="Arial" w:hAnsi="Arial" w:cs="Arial"/>
          <w:color w:val="000000"/>
          <w:sz w:val="24"/>
          <w:szCs w:val="24"/>
        </w:rPr>
        <w:t xml:space="preserve"> Applicability determinations should be done by an outside party and/or look at the process itself and provide better education to those making the applicability determinations.  RICE and 6H are good examples of failures in the current system. </w:t>
      </w:r>
    </w:p>
    <w:p w14:paraId="512FA3FC" w14:textId="3BC6D270" w:rsidR="003202AB" w:rsidRDefault="003202AB" w:rsidP="00AC29BD">
      <w:pPr>
        <w:pStyle w:val="ListParagraph"/>
        <w:numPr>
          <w:ilvl w:val="0"/>
          <w:numId w:val="32"/>
        </w:numPr>
        <w:rPr>
          <w:rFonts w:ascii="Arial" w:hAnsi="Arial" w:cs="Arial"/>
          <w:color w:val="000000"/>
          <w:sz w:val="24"/>
          <w:szCs w:val="24"/>
        </w:rPr>
      </w:pPr>
      <w:r>
        <w:rPr>
          <w:rFonts w:ascii="Arial" w:hAnsi="Arial" w:cs="Arial"/>
          <w:color w:val="000000"/>
          <w:sz w:val="24"/>
          <w:szCs w:val="24"/>
          <w:u w:val="single"/>
        </w:rPr>
        <w:t>Streamline Notification and Reporting for Environmental Response/Spills</w:t>
      </w:r>
      <w:r w:rsidRPr="003202AB">
        <w:rPr>
          <w:rFonts w:ascii="Arial" w:hAnsi="Arial" w:cs="Arial"/>
          <w:color w:val="000000"/>
          <w:sz w:val="24"/>
          <w:szCs w:val="24"/>
        </w:rPr>
        <w:t>-</w:t>
      </w:r>
      <w:r>
        <w:rPr>
          <w:rFonts w:ascii="Arial" w:hAnsi="Arial" w:cs="Arial"/>
          <w:color w:val="000000"/>
          <w:sz w:val="24"/>
          <w:szCs w:val="24"/>
        </w:rPr>
        <w:t xml:space="preserve"> </w:t>
      </w:r>
      <w:r w:rsidR="00D8708F">
        <w:rPr>
          <w:rFonts w:ascii="Arial" w:hAnsi="Arial" w:cs="Arial"/>
          <w:color w:val="000000"/>
          <w:sz w:val="24"/>
          <w:szCs w:val="24"/>
        </w:rPr>
        <w:t xml:space="preserve">Some states have had a hotline that was used to disseminate information to other authorities, like a “one call” notification.  The challenges the various regulatory obligations and associated timelines.  </w:t>
      </w:r>
    </w:p>
    <w:p w14:paraId="28D28B94" w14:textId="7B6503E3" w:rsidR="003202AB" w:rsidRDefault="003202AB" w:rsidP="00AC29BD">
      <w:pPr>
        <w:pStyle w:val="ListParagraph"/>
        <w:numPr>
          <w:ilvl w:val="0"/>
          <w:numId w:val="32"/>
        </w:numPr>
        <w:rPr>
          <w:rFonts w:ascii="Arial" w:hAnsi="Arial" w:cs="Arial"/>
          <w:color w:val="000000"/>
          <w:sz w:val="24"/>
          <w:szCs w:val="24"/>
        </w:rPr>
      </w:pPr>
      <w:r>
        <w:rPr>
          <w:rFonts w:ascii="Arial" w:hAnsi="Arial" w:cs="Arial"/>
          <w:color w:val="000000"/>
          <w:sz w:val="24"/>
          <w:szCs w:val="24"/>
          <w:u w:val="single"/>
        </w:rPr>
        <w:t>RICE rules</w:t>
      </w:r>
      <w:r w:rsidRPr="003202AB">
        <w:rPr>
          <w:rFonts w:ascii="Arial" w:hAnsi="Arial" w:cs="Arial"/>
          <w:color w:val="000000"/>
          <w:sz w:val="24"/>
          <w:szCs w:val="24"/>
        </w:rPr>
        <w:t>-</w:t>
      </w:r>
      <w:r>
        <w:rPr>
          <w:rFonts w:ascii="Arial" w:hAnsi="Arial" w:cs="Arial"/>
          <w:color w:val="000000"/>
          <w:sz w:val="24"/>
          <w:szCs w:val="24"/>
        </w:rPr>
        <w:t xml:space="preserve"> Rule changes to </w:t>
      </w:r>
      <w:r w:rsidR="0010610F">
        <w:rPr>
          <w:rFonts w:ascii="Arial" w:hAnsi="Arial" w:cs="Arial"/>
          <w:color w:val="000000"/>
          <w:sz w:val="24"/>
          <w:szCs w:val="24"/>
        </w:rPr>
        <w:t xml:space="preserve">redefine remote, emergency.  Simple changes in these rules could eliminate a lot of regulations with minimal impact on emissions (i.e. emergency generators/limited use).  There were good examples from states of remote lumber mills who had no source of electricity, but didn’t fall under remote.  </w:t>
      </w:r>
    </w:p>
    <w:p w14:paraId="6D5321BC" w14:textId="6163A2ED" w:rsidR="0010610F" w:rsidRDefault="0010610F" w:rsidP="00AC29BD">
      <w:pPr>
        <w:pStyle w:val="ListParagraph"/>
        <w:numPr>
          <w:ilvl w:val="0"/>
          <w:numId w:val="32"/>
        </w:numPr>
        <w:rPr>
          <w:rFonts w:ascii="Arial" w:hAnsi="Arial" w:cs="Arial"/>
          <w:color w:val="000000"/>
          <w:sz w:val="24"/>
          <w:szCs w:val="24"/>
        </w:rPr>
      </w:pPr>
      <w:r>
        <w:rPr>
          <w:rFonts w:ascii="Arial" w:hAnsi="Arial" w:cs="Arial"/>
          <w:color w:val="000000"/>
          <w:sz w:val="24"/>
          <w:szCs w:val="24"/>
          <w:u w:val="single"/>
        </w:rPr>
        <w:t>Longer Rule Comment Periods</w:t>
      </w:r>
      <w:r w:rsidRPr="0010610F">
        <w:rPr>
          <w:rFonts w:ascii="Arial" w:hAnsi="Arial" w:cs="Arial"/>
          <w:color w:val="000000"/>
          <w:sz w:val="24"/>
          <w:szCs w:val="24"/>
        </w:rPr>
        <w:t>-</w:t>
      </w:r>
      <w:r>
        <w:rPr>
          <w:rFonts w:ascii="Arial" w:hAnsi="Arial" w:cs="Arial"/>
          <w:color w:val="000000"/>
          <w:sz w:val="24"/>
          <w:szCs w:val="24"/>
        </w:rPr>
        <w:t xml:space="preserve"> the comment is self-explanatory</w:t>
      </w:r>
    </w:p>
    <w:p w14:paraId="0DB48FF7" w14:textId="09E6A314" w:rsidR="0010610F" w:rsidRDefault="0010610F" w:rsidP="00AC29BD">
      <w:pPr>
        <w:pStyle w:val="ListParagraph"/>
        <w:numPr>
          <w:ilvl w:val="0"/>
          <w:numId w:val="32"/>
        </w:numPr>
        <w:rPr>
          <w:rFonts w:ascii="Arial" w:hAnsi="Arial" w:cs="Arial"/>
          <w:color w:val="000000"/>
          <w:sz w:val="24"/>
          <w:szCs w:val="24"/>
        </w:rPr>
      </w:pPr>
      <w:r>
        <w:rPr>
          <w:rFonts w:ascii="Arial" w:hAnsi="Arial" w:cs="Arial"/>
          <w:color w:val="000000"/>
          <w:sz w:val="24"/>
          <w:szCs w:val="24"/>
          <w:u w:val="single"/>
        </w:rPr>
        <w:t>NSPS for Small Industrial Commercial Institutional Steam Generating Units</w:t>
      </w:r>
      <w:r w:rsidR="00E5147D">
        <w:rPr>
          <w:rFonts w:ascii="Arial" w:hAnsi="Arial" w:cs="Arial"/>
          <w:color w:val="000000"/>
          <w:sz w:val="24"/>
          <w:szCs w:val="24"/>
          <w:u w:val="single"/>
        </w:rPr>
        <w:t xml:space="preserve">- </w:t>
      </w:r>
      <w:r w:rsidR="00E5147D">
        <w:rPr>
          <w:rFonts w:ascii="Arial" w:hAnsi="Arial" w:cs="Arial"/>
          <w:color w:val="000000"/>
          <w:sz w:val="24"/>
          <w:szCs w:val="24"/>
        </w:rPr>
        <w:t xml:space="preserve">The recommendation is in the comment that was submitted. </w:t>
      </w:r>
    </w:p>
    <w:p w14:paraId="700AEDA3" w14:textId="086D9890" w:rsidR="00E5147D" w:rsidRDefault="00E5147D" w:rsidP="00AC29BD">
      <w:pPr>
        <w:pStyle w:val="ListParagraph"/>
        <w:numPr>
          <w:ilvl w:val="0"/>
          <w:numId w:val="32"/>
        </w:numPr>
        <w:rPr>
          <w:rFonts w:ascii="Arial" w:hAnsi="Arial" w:cs="Arial"/>
          <w:color w:val="000000"/>
          <w:sz w:val="24"/>
          <w:szCs w:val="24"/>
        </w:rPr>
      </w:pPr>
      <w:r>
        <w:rPr>
          <w:rFonts w:ascii="Arial" w:hAnsi="Arial" w:cs="Arial"/>
          <w:color w:val="000000"/>
          <w:sz w:val="24"/>
          <w:szCs w:val="24"/>
          <w:u w:val="single"/>
        </w:rPr>
        <w:t>NSPS for Air Curtain Incinerators-</w:t>
      </w:r>
      <w:r>
        <w:rPr>
          <w:rFonts w:ascii="Arial" w:hAnsi="Arial" w:cs="Arial"/>
          <w:color w:val="000000"/>
          <w:sz w:val="24"/>
          <w:szCs w:val="24"/>
        </w:rPr>
        <w:t xml:space="preserve"> The comment has the recommended approach.  However, TN discussed that they exempt these devices during emergency situations, basically during </w:t>
      </w:r>
      <w:proofErr w:type="gramStart"/>
      <w:r>
        <w:rPr>
          <w:rFonts w:ascii="Arial" w:hAnsi="Arial" w:cs="Arial"/>
          <w:color w:val="000000"/>
          <w:sz w:val="24"/>
          <w:szCs w:val="24"/>
        </w:rPr>
        <w:t>an emergency situation</w:t>
      </w:r>
      <w:proofErr w:type="gramEnd"/>
      <w:r>
        <w:rPr>
          <w:rFonts w:ascii="Arial" w:hAnsi="Arial" w:cs="Arial"/>
          <w:color w:val="000000"/>
          <w:sz w:val="24"/>
          <w:szCs w:val="24"/>
        </w:rPr>
        <w:t xml:space="preserve"> this rule does not apply to air curtain incinerators.  TN </w:t>
      </w:r>
      <w:proofErr w:type="gramStart"/>
      <w:r>
        <w:rPr>
          <w:rFonts w:ascii="Arial" w:hAnsi="Arial" w:cs="Arial"/>
          <w:color w:val="000000"/>
          <w:sz w:val="24"/>
          <w:szCs w:val="24"/>
        </w:rPr>
        <w:t>actually did</w:t>
      </w:r>
      <w:proofErr w:type="gramEnd"/>
      <w:r>
        <w:rPr>
          <w:rFonts w:ascii="Arial" w:hAnsi="Arial" w:cs="Arial"/>
          <w:color w:val="000000"/>
          <w:sz w:val="24"/>
          <w:szCs w:val="24"/>
        </w:rPr>
        <w:t xml:space="preserve"> calculations and the emissions from these devices and has the data to justify these devices not being title V. </w:t>
      </w:r>
    </w:p>
    <w:p w14:paraId="6F828E52" w14:textId="209C01FA" w:rsidR="00E5147D" w:rsidRDefault="00E17F6D" w:rsidP="00AC29BD">
      <w:pPr>
        <w:pStyle w:val="ListParagraph"/>
        <w:numPr>
          <w:ilvl w:val="0"/>
          <w:numId w:val="32"/>
        </w:numPr>
        <w:rPr>
          <w:rFonts w:ascii="Arial" w:hAnsi="Arial" w:cs="Arial"/>
          <w:color w:val="000000"/>
          <w:sz w:val="24"/>
          <w:szCs w:val="24"/>
        </w:rPr>
      </w:pPr>
      <w:r>
        <w:rPr>
          <w:rFonts w:ascii="Arial" w:hAnsi="Arial" w:cs="Arial"/>
          <w:color w:val="000000"/>
          <w:sz w:val="24"/>
          <w:szCs w:val="24"/>
          <w:u w:val="single"/>
        </w:rPr>
        <w:t>Improvements to Area Source Boiler Rule, 40 CFR Part 63 subpart JJJJJJ-</w:t>
      </w:r>
      <w:r>
        <w:rPr>
          <w:rFonts w:ascii="Arial" w:hAnsi="Arial" w:cs="Arial"/>
          <w:color w:val="000000"/>
          <w:sz w:val="24"/>
          <w:szCs w:val="24"/>
        </w:rPr>
        <w:t xml:space="preserve"> This comment explains the actual changes that need to be </w:t>
      </w:r>
      <w:r w:rsidRPr="00D8708F">
        <w:rPr>
          <w:rFonts w:ascii="Arial" w:hAnsi="Arial" w:cs="Arial"/>
          <w:color w:val="000000"/>
          <w:sz w:val="24"/>
          <w:szCs w:val="24"/>
        </w:rPr>
        <w:t xml:space="preserve">made.  The clarifications </w:t>
      </w:r>
      <w:r w:rsidRPr="00D8708F">
        <w:rPr>
          <w:rFonts w:ascii="Arial" w:hAnsi="Arial" w:cs="Arial"/>
          <w:color w:val="000000"/>
          <w:sz w:val="24"/>
          <w:szCs w:val="24"/>
        </w:rPr>
        <w:lastRenderedPageBreak/>
        <w:t>recommended could be done through a memo to avoid having to make actual rule changes.</w:t>
      </w:r>
      <w:r>
        <w:rPr>
          <w:rFonts w:ascii="Arial" w:hAnsi="Arial" w:cs="Arial"/>
          <w:color w:val="000000"/>
          <w:sz w:val="24"/>
          <w:szCs w:val="24"/>
        </w:rPr>
        <w:t xml:space="preserve"> </w:t>
      </w:r>
    </w:p>
    <w:p w14:paraId="1C048E58" w14:textId="6C34057F" w:rsidR="00E17F6D" w:rsidRDefault="00E17F6D" w:rsidP="00AC29BD">
      <w:pPr>
        <w:pStyle w:val="ListParagraph"/>
        <w:numPr>
          <w:ilvl w:val="0"/>
          <w:numId w:val="32"/>
        </w:numPr>
        <w:rPr>
          <w:rFonts w:ascii="Arial" w:hAnsi="Arial" w:cs="Arial"/>
          <w:color w:val="000000"/>
          <w:sz w:val="24"/>
          <w:szCs w:val="24"/>
        </w:rPr>
      </w:pPr>
      <w:r>
        <w:rPr>
          <w:rFonts w:ascii="Arial" w:hAnsi="Arial" w:cs="Arial"/>
          <w:color w:val="000000"/>
          <w:sz w:val="24"/>
          <w:szCs w:val="24"/>
          <w:u w:val="single"/>
        </w:rPr>
        <w:t>Unintended Consequences of EPA Rules-</w:t>
      </w:r>
      <w:r>
        <w:rPr>
          <w:rFonts w:ascii="Arial" w:hAnsi="Arial" w:cs="Arial"/>
          <w:color w:val="000000"/>
          <w:sz w:val="24"/>
          <w:szCs w:val="24"/>
        </w:rPr>
        <w:t xml:space="preserve"> This could be accomplished by creating a formal policy and perhaps a program within the EPA that would be responsible for carrying out the policy. </w:t>
      </w:r>
    </w:p>
    <w:p w14:paraId="22C3CC61" w14:textId="3DCD654C" w:rsidR="00E17F6D" w:rsidRDefault="00E17F6D" w:rsidP="00AC29BD">
      <w:pPr>
        <w:pStyle w:val="ListParagraph"/>
        <w:numPr>
          <w:ilvl w:val="0"/>
          <w:numId w:val="32"/>
        </w:numPr>
        <w:rPr>
          <w:rFonts w:ascii="Arial" w:hAnsi="Arial" w:cs="Arial"/>
          <w:color w:val="000000"/>
          <w:sz w:val="24"/>
          <w:szCs w:val="24"/>
        </w:rPr>
      </w:pPr>
      <w:r>
        <w:rPr>
          <w:rFonts w:ascii="Arial" w:hAnsi="Arial" w:cs="Arial"/>
          <w:color w:val="000000"/>
          <w:sz w:val="24"/>
          <w:szCs w:val="24"/>
          <w:u w:val="single"/>
        </w:rPr>
        <w:t>Listed Hazardous Wastes-</w:t>
      </w:r>
      <w:r>
        <w:rPr>
          <w:rFonts w:ascii="Arial" w:hAnsi="Arial" w:cs="Arial"/>
          <w:color w:val="000000"/>
          <w:sz w:val="24"/>
          <w:szCs w:val="24"/>
        </w:rPr>
        <w:t xml:space="preserve"> This would involve</w:t>
      </w:r>
      <w:r w:rsidR="00A32F98">
        <w:rPr>
          <w:rFonts w:ascii="Arial" w:hAnsi="Arial" w:cs="Arial"/>
          <w:color w:val="000000"/>
          <w:sz w:val="24"/>
          <w:szCs w:val="24"/>
        </w:rPr>
        <w:t xml:space="preserve"> looking at the rule, specifically listings and looking at how changes in manufacturing have changed the relevancy of the listings.  It would be helpful if this was done with involvement by those most impacted by the current listings on the front end of the process. </w:t>
      </w:r>
    </w:p>
    <w:p w14:paraId="0BB3E29D" w14:textId="0E435E10" w:rsidR="00A32F98" w:rsidRPr="00AC29BD" w:rsidRDefault="00A32F98" w:rsidP="00AC29BD">
      <w:pPr>
        <w:pStyle w:val="ListParagraph"/>
        <w:numPr>
          <w:ilvl w:val="0"/>
          <w:numId w:val="32"/>
        </w:numPr>
        <w:rPr>
          <w:rFonts w:ascii="Arial" w:hAnsi="Arial" w:cs="Arial"/>
          <w:color w:val="000000"/>
          <w:sz w:val="24"/>
          <w:szCs w:val="24"/>
        </w:rPr>
      </w:pPr>
      <w:r>
        <w:rPr>
          <w:rFonts w:ascii="Arial" w:hAnsi="Arial" w:cs="Arial"/>
          <w:color w:val="000000"/>
          <w:sz w:val="24"/>
          <w:szCs w:val="24"/>
          <w:u w:val="single"/>
        </w:rPr>
        <w:t xml:space="preserve">Solvent Contaminated Wipes </w:t>
      </w:r>
      <w:proofErr w:type="spellStart"/>
      <w:r>
        <w:rPr>
          <w:rFonts w:ascii="Arial" w:hAnsi="Arial" w:cs="Arial"/>
          <w:color w:val="000000"/>
          <w:sz w:val="24"/>
          <w:szCs w:val="24"/>
          <w:u w:val="single"/>
        </w:rPr>
        <w:t>Regs</w:t>
      </w:r>
      <w:proofErr w:type="spellEnd"/>
      <w:r>
        <w:rPr>
          <w:rFonts w:ascii="Arial" w:hAnsi="Arial" w:cs="Arial"/>
          <w:color w:val="000000"/>
          <w:sz w:val="24"/>
          <w:szCs w:val="24"/>
          <w:u w:val="single"/>
        </w:rPr>
        <w:t>-</w:t>
      </w:r>
      <w:r>
        <w:rPr>
          <w:rFonts w:ascii="Arial" w:hAnsi="Arial" w:cs="Arial"/>
          <w:color w:val="000000"/>
          <w:sz w:val="24"/>
          <w:szCs w:val="24"/>
        </w:rPr>
        <w:t xml:space="preserve"> This could be changed through the </w:t>
      </w:r>
      <w:r w:rsidR="006577B3">
        <w:rPr>
          <w:rFonts w:ascii="Arial" w:hAnsi="Arial" w:cs="Arial"/>
          <w:color w:val="000000"/>
          <w:sz w:val="24"/>
          <w:szCs w:val="24"/>
        </w:rPr>
        <w:t>establishment</w:t>
      </w:r>
      <w:r>
        <w:rPr>
          <w:rFonts w:ascii="Arial" w:hAnsi="Arial" w:cs="Arial"/>
          <w:color w:val="000000"/>
          <w:sz w:val="24"/>
          <w:szCs w:val="24"/>
        </w:rPr>
        <w:t xml:space="preserve"> of a formal policy specific to the laundering of wipes OR it could be changed by</w:t>
      </w:r>
      <w:r w:rsidR="00C20B66">
        <w:rPr>
          <w:rFonts w:ascii="Arial" w:hAnsi="Arial" w:cs="Arial"/>
          <w:color w:val="000000"/>
          <w:sz w:val="24"/>
          <w:szCs w:val="24"/>
        </w:rPr>
        <w:t xml:space="preserve"> an exemption put into the rule itself.  </w:t>
      </w:r>
      <w:r>
        <w:rPr>
          <w:rFonts w:ascii="Arial" w:hAnsi="Arial" w:cs="Arial"/>
          <w:color w:val="000000"/>
          <w:sz w:val="24"/>
          <w:szCs w:val="24"/>
        </w:rPr>
        <w:t xml:space="preserve"> </w:t>
      </w:r>
    </w:p>
    <w:p w14:paraId="68472123" w14:textId="2F977679" w:rsidR="002928E0" w:rsidRPr="00C20B66" w:rsidRDefault="002928E0" w:rsidP="00776173">
      <w:pPr>
        <w:rPr>
          <w:rFonts w:ascii="Arial" w:eastAsia="Times New Roman" w:hAnsi="Arial" w:cs="Arial"/>
          <w:color w:val="000000"/>
          <w:sz w:val="24"/>
          <w:szCs w:val="24"/>
        </w:rPr>
      </w:pPr>
    </w:p>
    <w:p w14:paraId="3C3A69A5" w14:textId="77777777" w:rsidR="00335C6D" w:rsidRPr="00DA366B" w:rsidRDefault="00335C6D" w:rsidP="00335C6D">
      <w:pPr>
        <w:rPr>
          <w:rFonts w:ascii="Arial" w:hAnsi="Arial" w:cs="Arial"/>
          <w:b/>
          <w:sz w:val="24"/>
          <w:szCs w:val="24"/>
        </w:rPr>
      </w:pPr>
      <w:r w:rsidRPr="00DA366B">
        <w:rPr>
          <w:rFonts w:ascii="Arial" w:hAnsi="Arial" w:cs="Arial"/>
          <w:b/>
          <w:sz w:val="24"/>
          <w:szCs w:val="24"/>
        </w:rPr>
        <w:t>Future topics:</w:t>
      </w:r>
    </w:p>
    <w:p w14:paraId="27F3B4A9" w14:textId="0E1F3F9B" w:rsidR="00335C6D" w:rsidRPr="00DA366B" w:rsidRDefault="00A81AAC" w:rsidP="00335C6D">
      <w:pPr>
        <w:numPr>
          <w:ilvl w:val="0"/>
          <w:numId w:val="1"/>
        </w:numPr>
        <w:spacing w:after="0" w:line="240" w:lineRule="auto"/>
        <w:ind w:left="720"/>
        <w:rPr>
          <w:rFonts w:ascii="Arial" w:hAnsi="Arial" w:cs="Arial"/>
          <w:b/>
          <w:bCs/>
          <w:sz w:val="24"/>
          <w:szCs w:val="24"/>
        </w:rPr>
      </w:pPr>
      <w:r>
        <w:rPr>
          <w:rFonts w:ascii="Arial" w:hAnsi="Arial" w:cs="Arial"/>
          <w:bCs/>
          <w:sz w:val="24"/>
          <w:szCs w:val="24"/>
        </w:rPr>
        <w:t>RICE NESHAP Requirements Presentation</w:t>
      </w:r>
      <w:r w:rsidR="00335C6D" w:rsidRPr="00DA366B">
        <w:rPr>
          <w:rFonts w:ascii="Arial" w:hAnsi="Arial" w:cs="Arial"/>
          <w:bCs/>
          <w:sz w:val="24"/>
          <w:szCs w:val="24"/>
        </w:rPr>
        <w:t xml:space="preserve"> – </w:t>
      </w:r>
      <w:r>
        <w:rPr>
          <w:rFonts w:ascii="Arial" w:hAnsi="Arial" w:cs="Arial"/>
          <w:b/>
          <w:bCs/>
          <w:sz w:val="24"/>
          <w:szCs w:val="24"/>
        </w:rPr>
        <w:t>October 17</w:t>
      </w:r>
      <w:r w:rsidR="00335C6D" w:rsidRPr="00DA366B">
        <w:rPr>
          <w:rFonts w:ascii="Arial" w:hAnsi="Arial" w:cs="Arial"/>
          <w:b/>
          <w:bCs/>
          <w:sz w:val="24"/>
          <w:szCs w:val="24"/>
        </w:rPr>
        <w:t>, 2017</w:t>
      </w:r>
    </w:p>
    <w:p w14:paraId="4B668971" w14:textId="77777777" w:rsidR="00335C6D" w:rsidRPr="00DA366B" w:rsidRDefault="00335C6D" w:rsidP="00335C6D">
      <w:pPr>
        <w:numPr>
          <w:ilvl w:val="0"/>
          <w:numId w:val="1"/>
        </w:numPr>
        <w:spacing w:after="0" w:line="240" w:lineRule="auto"/>
        <w:ind w:left="720"/>
        <w:rPr>
          <w:rFonts w:ascii="Arial" w:hAnsi="Arial" w:cs="Arial"/>
          <w:bCs/>
          <w:sz w:val="24"/>
          <w:szCs w:val="24"/>
        </w:rPr>
      </w:pPr>
      <w:r w:rsidRPr="00DA366B">
        <w:rPr>
          <w:rFonts w:ascii="Arial" w:hAnsi="Arial" w:cs="Arial"/>
          <w:bCs/>
          <w:sz w:val="24"/>
          <w:szCs w:val="24"/>
        </w:rPr>
        <w:t>Considering future industry sector partnerships with EPA</w:t>
      </w:r>
    </w:p>
    <w:p w14:paraId="37B389EB" w14:textId="77777777" w:rsidR="00335C6D" w:rsidRPr="00DA366B" w:rsidRDefault="00335C6D" w:rsidP="00335C6D">
      <w:pPr>
        <w:numPr>
          <w:ilvl w:val="1"/>
          <w:numId w:val="1"/>
        </w:numPr>
        <w:spacing w:after="0" w:line="240" w:lineRule="auto"/>
        <w:ind w:left="1440"/>
        <w:rPr>
          <w:rFonts w:ascii="Arial" w:hAnsi="Arial" w:cs="Arial"/>
          <w:bCs/>
          <w:sz w:val="24"/>
          <w:szCs w:val="24"/>
        </w:rPr>
      </w:pPr>
      <w:r w:rsidRPr="00DA366B">
        <w:rPr>
          <w:rFonts w:ascii="Arial" w:hAnsi="Arial" w:cs="Arial"/>
          <w:bCs/>
          <w:sz w:val="24"/>
          <w:szCs w:val="24"/>
        </w:rPr>
        <w:t xml:space="preserve">Multimedia outreach comparable to </w:t>
      </w:r>
      <w:proofErr w:type="spellStart"/>
      <w:r w:rsidRPr="00DA366B">
        <w:rPr>
          <w:rFonts w:ascii="Arial" w:hAnsi="Arial" w:cs="Arial"/>
          <w:bCs/>
          <w:sz w:val="24"/>
          <w:szCs w:val="24"/>
        </w:rPr>
        <w:t>AutoBody</w:t>
      </w:r>
      <w:proofErr w:type="spellEnd"/>
      <w:r w:rsidRPr="00DA366B">
        <w:rPr>
          <w:rFonts w:ascii="Arial" w:hAnsi="Arial" w:cs="Arial"/>
          <w:bCs/>
          <w:sz w:val="24"/>
          <w:szCs w:val="24"/>
        </w:rPr>
        <w:t xml:space="preserve"> ERP</w:t>
      </w:r>
    </w:p>
    <w:p w14:paraId="7DBEDC5A" w14:textId="77777777" w:rsidR="00335C6D" w:rsidRPr="00DA366B" w:rsidRDefault="00335C6D" w:rsidP="00335C6D">
      <w:pPr>
        <w:numPr>
          <w:ilvl w:val="1"/>
          <w:numId w:val="1"/>
        </w:numPr>
        <w:spacing w:after="0" w:line="240" w:lineRule="auto"/>
        <w:ind w:left="1440"/>
        <w:rPr>
          <w:rFonts w:ascii="Arial" w:hAnsi="Arial" w:cs="Arial"/>
          <w:bCs/>
          <w:sz w:val="24"/>
          <w:szCs w:val="24"/>
        </w:rPr>
      </w:pPr>
      <w:r w:rsidRPr="00DA366B">
        <w:rPr>
          <w:rFonts w:ascii="Arial" w:hAnsi="Arial" w:cs="Arial"/>
          <w:bCs/>
          <w:sz w:val="24"/>
          <w:szCs w:val="24"/>
        </w:rPr>
        <w:t>Solvent cleaning</w:t>
      </w:r>
    </w:p>
    <w:p w14:paraId="1E185CB0" w14:textId="77777777" w:rsidR="00335C6D" w:rsidRPr="00DA366B" w:rsidRDefault="00335C6D" w:rsidP="00335C6D">
      <w:pPr>
        <w:numPr>
          <w:ilvl w:val="1"/>
          <w:numId w:val="1"/>
        </w:numPr>
        <w:spacing w:after="0" w:line="240" w:lineRule="auto"/>
        <w:ind w:left="1440"/>
        <w:rPr>
          <w:rFonts w:ascii="Arial" w:hAnsi="Arial" w:cs="Arial"/>
          <w:bCs/>
          <w:sz w:val="24"/>
          <w:szCs w:val="24"/>
        </w:rPr>
      </w:pPr>
      <w:r w:rsidRPr="00DA366B">
        <w:rPr>
          <w:rFonts w:ascii="Arial" w:hAnsi="Arial" w:cs="Arial"/>
          <w:bCs/>
          <w:sz w:val="24"/>
          <w:szCs w:val="24"/>
        </w:rPr>
        <w:t>Plating &amp; polishing – NESHAP Subpart 6W</w:t>
      </w:r>
    </w:p>
    <w:p w14:paraId="27A8864F" w14:textId="77777777" w:rsidR="00335C6D" w:rsidRPr="00DA366B" w:rsidRDefault="00335C6D" w:rsidP="00335C6D">
      <w:pPr>
        <w:numPr>
          <w:ilvl w:val="1"/>
          <w:numId w:val="1"/>
        </w:numPr>
        <w:spacing w:after="0" w:line="240" w:lineRule="auto"/>
        <w:ind w:left="1440"/>
        <w:rPr>
          <w:rFonts w:ascii="Arial" w:hAnsi="Arial" w:cs="Arial"/>
          <w:bCs/>
          <w:sz w:val="24"/>
          <w:szCs w:val="24"/>
        </w:rPr>
      </w:pPr>
      <w:r w:rsidRPr="00DA366B">
        <w:rPr>
          <w:rFonts w:ascii="Arial" w:hAnsi="Arial" w:cs="Arial"/>
          <w:bCs/>
          <w:sz w:val="24"/>
          <w:szCs w:val="24"/>
        </w:rPr>
        <w:t>Hospital sterilizers</w:t>
      </w:r>
    </w:p>
    <w:p w14:paraId="07354B49" w14:textId="77777777" w:rsidR="00335C6D" w:rsidRPr="00DA366B" w:rsidRDefault="00335C6D" w:rsidP="00335C6D">
      <w:pPr>
        <w:numPr>
          <w:ilvl w:val="1"/>
          <w:numId w:val="1"/>
        </w:numPr>
        <w:spacing w:after="0" w:line="240" w:lineRule="auto"/>
        <w:ind w:left="1440"/>
        <w:rPr>
          <w:rFonts w:ascii="Arial" w:hAnsi="Arial" w:cs="Arial"/>
          <w:bCs/>
          <w:sz w:val="24"/>
          <w:szCs w:val="24"/>
        </w:rPr>
      </w:pPr>
      <w:r w:rsidRPr="00DA366B">
        <w:rPr>
          <w:rFonts w:ascii="Arial" w:hAnsi="Arial" w:cs="Arial"/>
          <w:bCs/>
          <w:sz w:val="24"/>
          <w:szCs w:val="24"/>
        </w:rPr>
        <w:t>Metal fabrication – flame/plasma cutting</w:t>
      </w:r>
    </w:p>
    <w:p w14:paraId="2295E70B" w14:textId="77777777" w:rsidR="00335C6D" w:rsidRPr="00DA366B" w:rsidRDefault="00335C6D" w:rsidP="00335C6D">
      <w:pPr>
        <w:numPr>
          <w:ilvl w:val="1"/>
          <w:numId w:val="1"/>
        </w:numPr>
        <w:spacing w:after="0" w:line="240" w:lineRule="auto"/>
        <w:ind w:left="1440"/>
        <w:rPr>
          <w:rFonts w:ascii="Arial" w:hAnsi="Arial" w:cs="Arial"/>
          <w:bCs/>
          <w:sz w:val="24"/>
          <w:szCs w:val="24"/>
        </w:rPr>
      </w:pPr>
      <w:r w:rsidRPr="00DA366B">
        <w:rPr>
          <w:rFonts w:ascii="Arial" w:hAnsi="Arial" w:cs="Arial"/>
          <w:bCs/>
          <w:sz w:val="24"/>
          <w:szCs w:val="24"/>
        </w:rPr>
        <w:t>Surface coating</w:t>
      </w:r>
    </w:p>
    <w:p w14:paraId="6BCD5B53" w14:textId="77777777" w:rsidR="00335C6D" w:rsidRPr="00DA366B" w:rsidRDefault="00335C6D" w:rsidP="00335C6D">
      <w:pPr>
        <w:numPr>
          <w:ilvl w:val="0"/>
          <w:numId w:val="1"/>
        </w:numPr>
        <w:spacing w:after="0" w:line="240" w:lineRule="auto"/>
        <w:ind w:left="720"/>
        <w:rPr>
          <w:rFonts w:ascii="Arial" w:hAnsi="Arial" w:cs="Arial"/>
          <w:bCs/>
          <w:sz w:val="24"/>
          <w:szCs w:val="24"/>
        </w:rPr>
      </w:pPr>
      <w:r w:rsidRPr="00DA366B">
        <w:rPr>
          <w:rFonts w:ascii="Arial" w:hAnsi="Arial" w:cs="Arial"/>
          <w:bCs/>
          <w:sz w:val="24"/>
          <w:szCs w:val="24"/>
        </w:rPr>
        <w:t>Coating manufacturers: information sharing</w:t>
      </w:r>
    </w:p>
    <w:p w14:paraId="4035602F" w14:textId="77777777" w:rsidR="00335C6D" w:rsidRPr="00DA366B" w:rsidRDefault="00335C6D" w:rsidP="00335C6D">
      <w:pPr>
        <w:numPr>
          <w:ilvl w:val="0"/>
          <w:numId w:val="1"/>
        </w:numPr>
        <w:spacing w:after="0" w:line="240" w:lineRule="auto"/>
        <w:ind w:left="720"/>
        <w:rPr>
          <w:rFonts w:ascii="Arial" w:hAnsi="Arial" w:cs="Arial"/>
          <w:bCs/>
          <w:sz w:val="24"/>
          <w:szCs w:val="24"/>
        </w:rPr>
      </w:pPr>
      <w:r w:rsidRPr="00DA366B">
        <w:rPr>
          <w:rFonts w:ascii="Arial" w:hAnsi="Arial" w:cs="Arial"/>
          <w:bCs/>
          <w:sz w:val="24"/>
          <w:szCs w:val="24"/>
        </w:rPr>
        <w:t>How different states calculate potential to emit</w:t>
      </w:r>
    </w:p>
    <w:p w14:paraId="5AB7CD9B" w14:textId="77777777" w:rsidR="00335C6D" w:rsidRPr="00DA366B" w:rsidRDefault="00335C6D" w:rsidP="00335C6D">
      <w:pPr>
        <w:numPr>
          <w:ilvl w:val="0"/>
          <w:numId w:val="1"/>
        </w:numPr>
        <w:spacing w:after="0" w:line="240" w:lineRule="auto"/>
        <w:ind w:left="720"/>
        <w:rPr>
          <w:rFonts w:ascii="Arial" w:hAnsi="Arial" w:cs="Arial"/>
          <w:bCs/>
          <w:sz w:val="24"/>
          <w:szCs w:val="24"/>
        </w:rPr>
      </w:pPr>
      <w:r w:rsidRPr="00DA366B">
        <w:rPr>
          <w:rFonts w:ascii="Arial" w:hAnsi="Arial" w:cs="Arial"/>
          <w:bCs/>
          <w:sz w:val="24"/>
          <w:szCs w:val="24"/>
        </w:rPr>
        <w:t>Electronic hazardous waste manifests user fees</w:t>
      </w:r>
    </w:p>
    <w:p w14:paraId="585787AD" w14:textId="77777777" w:rsidR="00335C6D" w:rsidRPr="00DA366B" w:rsidRDefault="00335C6D" w:rsidP="00335C6D">
      <w:pPr>
        <w:numPr>
          <w:ilvl w:val="0"/>
          <w:numId w:val="1"/>
        </w:numPr>
        <w:spacing w:after="0" w:line="240" w:lineRule="auto"/>
        <w:ind w:left="720"/>
        <w:rPr>
          <w:rFonts w:ascii="Arial" w:hAnsi="Arial" w:cs="Arial"/>
          <w:bCs/>
          <w:sz w:val="24"/>
          <w:szCs w:val="24"/>
        </w:rPr>
      </w:pPr>
      <w:r w:rsidRPr="00DA366B">
        <w:rPr>
          <w:rFonts w:ascii="Arial" w:hAnsi="Arial" w:cs="Arial"/>
          <w:bCs/>
          <w:sz w:val="24"/>
          <w:szCs w:val="24"/>
        </w:rPr>
        <w:t>Startup/shutdown final rule: Tony Pendola -  NC &amp; Melissa Collier – MS</w:t>
      </w:r>
    </w:p>
    <w:p w14:paraId="30FCE5EB" w14:textId="77777777" w:rsidR="003F2A5A" w:rsidRPr="00DA366B" w:rsidRDefault="00335C6D" w:rsidP="00335C6D">
      <w:pPr>
        <w:spacing w:after="0" w:line="240" w:lineRule="auto"/>
        <w:rPr>
          <w:rFonts w:ascii="Arial" w:eastAsia="Times New Roman" w:hAnsi="Arial" w:cs="Arial"/>
          <w:bCs/>
          <w:sz w:val="24"/>
          <w:szCs w:val="24"/>
        </w:rPr>
      </w:pPr>
      <w:r w:rsidRPr="00DA366B">
        <w:rPr>
          <w:rFonts w:ascii="Arial" w:hAnsi="Arial" w:cs="Arial"/>
          <w:bCs/>
          <w:sz w:val="24"/>
          <w:szCs w:val="24"/>
        </w:rPr>
        <w:t>Region 5 Plating &amp; Polishing NESHAP (6W) outreach effort – current progress</w:t>
      </w:r>
    </w:p>
    <w:p w14:paraId="55D8198B" w14:textId="77777777" w:rsidR="00DA366B" w:rsidRPr="00DA366B" w:rsidRDefault="00DA366B" w:rsidP="003F2A5A">
      <w:pPr>
        <w:spacing w:after="0" w:line="240" w:lineRule="auto"/>
        <w:ind w:left="990" w:hanging="990"/>
        <w:rPr>
          <w:rFonts w:ascii="Arial" w:eastAsia="Times New Roman" w:hAnsi="Arial" w:cs="Arial"/>
          <w:b/>
          <w:bCs/>
          <w:sz w:val="24"/>
          <w:szCs w:val="24"/>
        </w:rPr>
      </w:pPr>
    </w:p>
    <w:p w14:paraId="710D3BB0" w14:textId="154D9E8F" w:rsidR="003F2A5A" w:rsidRPr="00DA366B" w:rsidRDefault="003F2A5A" w:rsidP="003F2A5A">
      <w:pPr>
        <w:spacing w:after="0" w:line="240" w:lineRule="auto"/>
        <w:ind w:left="990" w:hanging="990"/>
        <w:rPr>
          <w:rFonts w:ascii="Arial" w:eastAsia="Times New Roman" w:hAnsi="Arial" w:cs="Arial"/>
          <w:b/>
          <w:bCs/>
          <w:sz w:val="24"/>
          <w:szCs w:val="24"/>
        </w:rPr>
      </w:pPr>
      <w:r w:rsidRPr="00DA366B">
        <w:rPr>
          <w:rFonts w:ascii="Arial" w:eastAsia="Times New Roman" w:hAnsi="Arial" w:cs="Arial"/>
          <w:b/>
          <w:bCs/>
          <w:sz w:val="24"/>
          <w:szCs w:val="24"/>
        </w:rPr>
        <w:t>Next</w:t>
      </w:r>
      <w:r w:rsidR="00C75435" w:rsidRPr="00DA366B">
        <w:rPr>
          <w:rFonts w:ascii="Arial" w:eastAsia="Times New Roman" w:hAnsi="Arial" w:cs="Arial"/>
          <w:b/>
          <w:bCs/>
          <w:sz w:val="24"/>
          <w:szCs w:val="24"/>
        </w:rPr>
        <w:t xml:space="preserve"> Technical Subcommittee</w:t>
      </w:r>
      <w:r w:rsidRPr="00DA366B">
        <w:rPr>
          <w:rFonts w:ascii="Arial" w:eastAsia="Times New Roman" w:hAnsi="Arial" w:cs="Arial"/>
          <w:b/>
          <w:bCs/>
          <w:sz w:val="24"/>
          <w:szCs w:val="24"/>
        </w:rPr>
        <w:t xml:space="preserve"> Call: </w:t>
      </w:r>
      <w:r w:rsidR="00A81AAC">
        <w:rPr>
          <w:rFonts w:ascii="Arial" w:eastAsia="Times New Roman" w:hAnsi="Arial" w:cs="Arial"/>
          <w:b/>
          <w:bCs/>
          <w:sz w:val="24"/>
          <w:szCs w:val="24"/>
        </w:rPr>
        <w:t>October 17, 2017</w:t>
      </w:r>
      <w:r w:rsidRPr="00DA366B">
        <w:rPr>
          <w:rFonts w:ascii="Arial" w:eastAsia="Times New Roman" w:hAnsi="Arial" w:cs="Arial"/>
          <w:b/>
          <w:bCs/>
          <w:sz w:val="24"/>
          <w:szCs w:val="24"/>
        </w:rPr>
        <w:t xml:space="preserve"> </w:t>
      </w:r>
    </w:p>
    <w:p w14:paraId="3A19979E" w14:textId="05CDF567" w:rsidR="004509AA" w:rsidRPr="00DA366B" w:rsidRDefault="003F2A5A" w:rsidP="003F2A5A">
      <w:pPr>
        <w:tabs>
          <w:tab w:val="left" w:pos="360"/>
          <w:tab w:val="left" w:pos="720"/>
          <w:tab w:val="left" w:pos="1080"/>
          <w:tab w:val="left" w:pos="1440"/>
          <w:tab w:val="left" w:pos="1800"/>
          <w:tab w:val="left" w:pos="2160"/>
          <w:tab w:val="left" w:pos="2520"/>
          <w:tab w:val="left" w:pos="2880"/>
        </w:tabs>
        <w:rPr>
          <w:rFonts w:ascii="Arial" w:eastAsia="Times New Roman" w:hAnsi="Arial" w:cs="Arial"/>
          <w:bCs/>
          <w:sz w:val="24"/>
          <w:szCs w:val="24"/>
        </w:rPr>
      </w:pPr>
      <w:r w:rsidRPr="00DA366B">
        <w:rPr>
          <w:rFonts w:ascii="Arial" w:eastAsia="Times New Roman" w:hAnsi="Arial" w:cs="Arial"/>
          <w:bCs/>
          <w:sz w:val="24"/>
          <w:szCs w:val="24"/>
        </w:rPr>
        <w:t>1 pm CST (2 pm EST) (3</w:t>
      </w:r>
      <w:r w:rsidRPr="00DA366B">
        <w:rPr>
          <w:rFonts w:ascii="Arial" w:eastAsia="Times New Roman" w:hAnsi="Arial" w:cs="Arial"/>
          <w:bCs/>
          <w:sz w:val="24"/>
          <w:szCs w:val="24"/>
          <w:vertAlign w:val="superscript"/>
        </w:rPr>
        <w:t>rd</w:t>
      </w:r>
      <w:r w:rsidRPr="00DA366B">
        <w:rPr>
          <w:rFonts w:ascii="Arial" w:eastAsia="Times New Roman" w:hAnsi="Arial" w:cs="Arial"/>
          <w:bCs/>
          <w:sz w:val="24"/>
          <w:szCs w:val="24"/>
        </w:rPr>
        <w:t xml:space="preserve"> Tuesday of month)</w:t>
      </w:r>
      <w:r w:rsidR="004509AA">
        <w:rPr>
          <w:rFonts w:ascii="Arial" w:eastAsia="Times New Roman" w:hAnsi="Arial" w:cs="Arial"/>
          <w:bCs/>
          <w:sz w:val="24"/>
          <w:szCs w:val="24"/>
        </w:rPr>
        <w:t xml:space="preserve">- </w:t>
      </w:r>
      <w:r w:rsidR="00D366E7">
        <w:rPr>
          <w:rFonts w:ascii="Arial" w:eastAsia="Times New Roman" w:hAnsi="Arial" w:cs="Arial"/>
          <w:bCs/>
          <w:sz w:val="24"/>
          <w:szCs w:val="24"/>
        </w:rPr>
        <w:t>RICE NESHAP Requ</w:t>
      </w:r>
      <w:r w:rsidR="00504313">
        <w:rPr>
          <w:rFonts w:ascii="Arial" w:eastAsia="Times New Roman" w:hAnsi="Arial" w:cs="Arial"/>
          <w:bCs/>
          <w:sz w:val="24"/>
          <w:szCs w:val="24"/>
        </w:rPr>
        <w:t>irements Presentation</w:t>
      </w:r>
    </w:p>
    <w:p w14:paraId="62BF54E2" w14:textId="5F613E38" w:rsidR="002D7898" w:rsidRPr="00DA366B" w:rsidRDefault="003F2A5A" w:rsidP="00DA366B">
      <w:pPr>
        <w:tabs>
          <w:tab w:val="left" w:pos="360"/>
          <w:tab w:val="left" w:pos="720"/>
          <w:tab w:val="left" w:pos="1080"/>
          <w:tab w:val="left" w:pos="1440"/>
          <w:tab w:val="left" w:pos="1800"/>
          <w:tab w:val="left" w:pos="2160"/>
          <w:tab w:val="left" w:pos="2520"/>
          <w:tab w:val="left" w:pos="2880"/>
        </w:tabs>
        <w:rPr>
          <w:rFonts w:ascii="Arial" w:eastAsia="Times New Roman" w:hAnsi="Arial" w:cs="Arial"/>
          <w:sz w:val="24"/>
          <w:szCs w:val="24"/>
        </w:rPr>
      </w:pPr>
      <w:r w:rsidRPr="00DA366B">
        <w:rPr>
          <w:rFonts w:ascii="Arial" w:eastAsia="Times New Roman" w:hAnsi="Arial" w:cs="Arial"/>
          <w:bCs/>
          <w:sz w:val="24"/>
          <w:szCs w:val="24"/>
        </w:rPr>
        <w:t xml:space="preserve">Minutes prepared by </w:t>
      </w:r>
      <w:r w:rsidR="004C0EEF">
        <w:rPr>
          <w:rFonts w:ascii="Arial" w:eastAsia="Times New Roman" w:hAnsi="Arial" w:cs="Arial"/>
          <w:bCs/>
          <w:sz w:val="24"/>
          <w:szCs w:val="24"/>
        </w:rPr>
        <w:t>Brent Goetz – OH (</w:t>
      </w:r>
      <w:hyperlink r:id="rId6" w:history="1">
        <w:r w:rsidR="004C0EEF" w:rsidRPr="00B61D0B">
          <w:rPr>
            <w:rStyle w:val="Hyperlink"/>
            <w:rFonts w:ascii="Arial" w:eastAsia="Times New Roman" w:hAnsi="Arial" w:cs="Arial"/>
            <w:bCs/>
            <w:sz w:val="24"/>
            <w:szCs w:val="24"/>
          </w:rPr>
          <w:t>Brent.Goetz@epa.ohio.gov</w:t>
        </w:r>
      </w:hyperlink>
      <w:r w:rsidR="004C0EEF">
        <w:rPr>
          <w:rFonts w:ascii="Arial" w:eastAsia="Times New Roman" w:hAnsi="Arial" w:cs="Arial"/>
          <w:bCs/>
          <w:sz w:val="24"/>
          <w:szCs w:val="24"/>
        </w:rPr>
        <w:t xml:space="preserve">) and </w:t>
      </w:r>
      <w:r w:rsidRPr="00DA366B">
        <w:rPr>
          <w:rFonts w:ascii="Arial" w:eastAsia="Times New Roman" w:hAnsi="Arial" w:cs="Arial"/>
          <w:bCs/>
          <w:sz w:val="24"/>
          <w:szCs w:val="24"/>
        </w:rPr>
        <w:t>Mark Stoddard – IN (</w:t>
      </w:r>
      <w:hyperlink r:id="rId7" w:history="1">
        <w:r w:rsidRPr="00DA366B">
          <w:rPr>
            <w:rFonts w:ascii="Arial" w:eastAsia="Times New Roman" w:hAnsi="Arial" w:cs="Arial"/>
            <w:bCs/>
            <w:color w:val="0000FF"/>
            <w:sz w:val="24"/>
            <w:szCs w:val="24"/>
            <w:u w:val="single"/>
          </w:rPr>
          <w:t>MSTODDAR@idem.IN.gov</w:t>
        </w:r>
      </w:hyperlink>
      <w:r w:rsidRPr="00DA366B">
        <w:rPr>
          <w:rFonts w:ascii="Arial" w:eastAsia="Times New Roman" w:hAnsi="Arial" w:cs="Arial"/>
          <w:bCs/>
          <w:sz w:val="24"/>
          <w:szCs w:val="24"/>
        </w:rPr>
        <w:t>)</w:t>
      </w:r>
    </w:p>
    <w:sectPr w:rsidR="002D7898" w:rsidRPr="00DA366B"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16D8D"/>
    <w:multiLevelType w:val="hybridMultilevel"/>
    <w:tmpl w:val="BAFC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1A09D0"/>
    <w:multiLevelType w:val="hybridMultilevel"/>
    <w:tmpl w:val="5D6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241CE"/>
    <w:multiLevelType w:val="hybridMultilevel"/>
    <w:tmpl w:val="52A0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B4467"/>
    <w:multiLevelType w:val="hybridMultilevel"/>
    <w:tmpl w:val="AEB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E1CB7"/>
    <w:multiLevelType w:val="hybridMultilevel"/>
    <w:tmpl w:val="C406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D49CE"/>
    <w:multiLevelType w:val="hybridMultilevel"/>
    <w:tmpl w:val="319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D543C"/>
    <w:multiLevelType w:val="hybridMultilevel"/>
    <w:tmpl w:val="ADF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9E374B"/>
    <w:multiLevelType w:val="hybridMultilevel"/>
    <w:tmpl w:val="0DD4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F3539"/>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D1793"/>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E0062"/>
    <w:multiLevelType w:val="hybridMultilevel"/>
    <w:tmpl w:val="BF3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556DC"/>
    <w:multiLevelType w:val="hybridMultilevel"/>
    <w:tmpl w:val="18A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47EA2"/>
    <w:multiLevelType w:val="hybridMultilevel"/>
    <w:tmpl w:val="1DF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6341"/>
    <w:multiLevelType w:val="hybridMultilevel"/>
    <w:tmpl w:val="0C84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64B5C7E"/>
    <w:multiLevelType w:val="hybridMultilevel"/>
    <w:tmpl w:val="AE8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D5D01"/>
    <w:multiLevelType w:val="hybridMultilevel"/>
    <w:tmpl w:val="886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0"/>
  </w:num>
  <w:num w:numId="4">
    <w:abstractNumId w:val="14"/>
  </w:num>
  <w:num w:numId="5">
    <w:abstractNumId w:val="22"/>
  </w:num>
  <w:num w:numId="6">
    <w:abstractNumId w:val="15"/>
  </w:num>
  <w:num w:numId="7">
    <w:abstractNumId w:val="0"/>
  </w:num>
  <w:num w:numId="8">
    <w:abstractNumId w:val="20"/>
  </w:num>
  <w:num w:numId="9">
    <w:abstractNumId w:val="27"/>
  </w:num>
  <w:num w:numId="10">
    <w:abstractNumId w:val="17"/>
  </w:num>
  <w:num w:numId="11">
    <w:abstractNumId w:val="5"/>
  </w:num>
  <w:num w:numId="12">
    <w:abstractNumId w:val="1"/>
  </w:num>
  <w:num w:numId="13">
    <w:abstractNumId w:val="28"/>
  </w:num>
  <w:num w:numId="14">
    <w:abstractNumId w:val="13"/>
  </w:num>
  <w:num w:numId="15">
    <w:abstractNumId w:val="6"/>
  </w:num>
  <w:num w:numId="16">
    <w:abstractNumId w:val="30"/>
  </w:num>
  <w:num w:numId="17">
    <w:abstractNumId w:val="7"/>
  </w:num>
  <w:num w:numId="18">
    <w:abstractNumId w:val="4"/>
  </w:num>
  <w:num w:numId="19">
    <w:abstractNumId w:val="23"/>
  </w:num>
  <w:num w:numId="20">
    <w:abstractNumId w:val="18"/>
  </w:num>
  <w:num w:numId="21">
    <w:abstractNumId w:val="2"/>
  </w:num>
  <w:num w:numId="22">
    <w:abstractNumId w:val="26"/>
  </w:num>
  <w:num w:numId="23">
    <w:abstractNumId w:val="12"/>
  </w:num>
  <w:num w:numId="24">
    <w:abstractNumId w:val="24"/>
  </w:num>
  <w:num w:numId="25">
    <w:abstractNumId w:val="9"/>
  </w:num>
  <w:num w:numId="26">
    <w:abstractNumId w:val="25"/>
  </w:num>
  <w:num w:numId="27">
    <w:abstractNumId w:val="20"/>
  </w:num>
  <w:num w:numId="28">
    <w:abstractNumId w:val="29"/>
  </w:num>
  <w:num w:numId="29">
    <w:abstractNumId w:val="11"/>
  </w:num>
  <w:num w:numId="30">
    <w:abstractNumId w:val="21"/>
  </w:num>
  <w:num w:numId="31">
    <w:abstractNumId w:val="1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01"/>
    <w:rsid w:val="00014D90"/>
    <w:rsid w:val="00017D0D"/>
    <w:rsid w:val="00023D1D"/>
    <w:rsid w:val="00024A01"/>
    <w:rsid w:val="00036B2F"/>
    <w:rsid w:val="00042693"/>
    <w:rsid w:val="00047B94"/>
    <w:rsid w:val="00050C1E"/>
    <w:rsid w:val="00051426"/>
    <w:rsid w:val="00052E37"/>
    <w:rsid w:val="00061445"/>
    <w:rsid w:val="00067BF6"/>
    <w:rsid w:val="000801DA"/>
    <w:rsid w:val="0009264C"/>
    <w:rsid w:val="0009638E"/>
    <w:rsid w:val="000A014F"/>
    <w:rsid w:val="000A0F9E"/>
    <w:rsid w:val="000A31CD"/>
    <w:rsid w:val="000A434B"/>
    <w:rsid w:val="000B0210"/>
    <w:rsid w:val="000C0C3E"/>
    <w:rsid w:val="000C0F4A"/>
    <w:rsid w:val="000C1AAB"/>
    <w:rsid w:val="000C2435"/>
    <w:rsid w:val="000C2BC9"/>
    <w:rsid w:val="000C3A01"/>
    <w:rsid w:val="000C445B"/>
    <w:rsid w:val="000C6D68"/>
    <w:rsid w:val="000D39D2"/>
    <w:rsid w:val="000D4686"/>
    <w:rsid w:val="000F3C11"/>
    <w:rsid w:val="0010610F"/>
    <w:rsid w:val="00106AF4"/>
    <w:rsid w:val="0010701B"/>
    <w:rsid w:val="0011023C"/>
    <w:rsid w:val="001203CA"/>
    <w:rsid w:val="00121150"/>
    <w:rsid w:val="00121302"/>
    <w:rsid w:val="001224FD"/>
    <w:rsid w:val="001246B2"/>
    <w:rsid w:val="00126447"/>
    <w:rsid w:val="001264C1"/>
    <w:rsid w:val="00136F01"/>
    <w:rsid w:val="00137946"/>
    <w:rsid w:val="00143202"/>
    <w:rsid w:val="00145C3B"/>
    <w:rsid w:val="00157609"/>
    <w:rsid w:val="00170991"/>
    <w:rsid w:val="001717AE"/>
    <w:rsid w:val="00173E97"/>
    <w:rsid w:val="001878A1"/>
    <w:rsid w:val="00192B97"/>
    <w:rsid w:val="00196A63"/>
    <w:rsid w:val="001A07DD"/>
    <w:rsid w:val="001A100E"/>
    <w:rsid w:val="001A6330"/>
    <w:rsid w:val="001C0796"/>
    <w:rsid w:val="001C3A56"/>
    <w:rsid w:val="001E2145"/>
    <w:rsid w:val="00203CB7"/>
    <w:rsid w:val="00203EF6"/>
    <w:rsid w:val="00204B2F"/>
    <w:rsid w:val="00220E94"/>
    <w:rsid w:val="00222060"/>
    <w:rsid w:val="00224AAA"/>
    <w:rsid w:val="00231622"/>
    <w:rsid w:val="00233E33"/>
    <w:rsid w:val="00236B87"/>
    <w:rsid w:val="002409A2"/>
    <w:rsid w:val="0024386F"/>
    <w:rsid w:val="00247E34"/>
    <w:rsid w:val="002502FB"/>
    <w:rsid w:val="00252C55"/>
    <w:rsid w:val="0025372C"/>
    <w:rsid w:val="00256274"/>
    <w:rsid w:val="00261668"/>
    <w:rsid w:val="00264B96"/>
    <w:rsid w:val="0028060D"/>
    <w:rsid w:val="002841F5"/>
    <w:rsid w:val="00285BBD"/>
    <w:rsid w:val="00285E88"/>
    <w:rsid w:val="002878E0"/>
    <w:rsid w:val="002928E0"/>
    <w:rsid w:val="00294ADF"/>
    <w:rsid w:val="002A7A2E"/>
    <w:rsid w:val="002B0AA0"/>
    <w:rsid w:val="002B37FB"/>
    <w:rsid w:val="002B7D1D"/>
    <w:rsid w:val="002C2F76"/>
    <w:rsid w:val="002D157E"/>
    <w:rsid w:val="002D6CE4"/>
    <w:rsid w:val="002D7898"/>
    <w:rsid w:val="002D794E"/>
    <w:rsid w:val="002E6EFF"/>
    <w:rsid w:val="002F33DE"/>
    <w:rsid w:val="00305C86"/>
    <w:rsid w:val="003202AB"/>
    <w:rsid w:val="00325C38"/>
    <w:rsid w:val="00335C6D"/>
    <w:rsid w:val="003419D8"/>
    <w:rsid w:val="00345176"/>
    <w:rsid w:val="00345315"/>
    <w:rsid w:val="00356BE1"/>
    <w:rsid w:val="0036425A"/>
    <w:rsid w:val="00365211"/>
    <w:rsid w:val="003660EF"/>
    <w:rsid w:val="00371D2A"/>
    <w:rsid w:val="00377402"/>
    <w:rsid w:val="00382969"/>
    <w:rsid w:val="00382FBF"/>
    <w:rsid w:val="00396E03"/>
    <w:rsid w:val="00396EA9"/>
    <w:rsid w:val="003A2449"/>
    <w:rsid w:val="003B24C0"/>
    <w:rsid w:val="003C170C"/>
    <w:rsid w:val="003D5A13"/>
    <w:rsid w:val="003D6EC5"/>
    <w:rsid w:val="003E1151"/>
    <w:rsid w:val="003F2A5A"/>
    <w:rsid w:val="003F5861"/>
    <w:rsid w:val="00401D6C"/>
    <w:rsid w:val="0040348E"/>
    <w:rsid w:val="00403751"/>
    <w:rsid w:val="00404EA3"/>
    <w:rsid w:val="00405568"/>
    <w:rsid w:val="00405E67"/>
    <w:rsid w:val="00407EE4"/>
    <w:rsid w:val="00410CFD"/>
    <w:rsid w:val="00421628"/>
    <w:rsid w:val="004217E5"/>
    <w:rsid w:val="0042250D"/>
    <w:rsid w:val="004241C2"/>
    <w:rsid w:val="00425EA3"/>
    <w:rsid w:val="0044495A"/>
    <w:rsid w:val="004509AA"/>
    <w:rsid w:val="00454D63"/>
    <w:rsid w:val="00460A40"/>
    <w:rsid w:val="00462892"/>
    <w:rsid w:val="0046438C"/>
    <w:rsid w:val="00466B89"/>
    <w:rsid w:val="004703F9"/>
    <w:rsid w:val="004759FA"/>
    <w:rsid w:val="00482CD6"/>
    <w:rsid w:val="0048513B"/>
    <w:rsid w:val="004867C3"/>
    <w:rsid w:val="00492B51"/>
    <w:rsid w:val="004A19EB"/>
    <w:rsid w:val="004A5C21"/>
    <w:rsid w:val="004A7EE2"/>
    <w:rsid w:val="004B0E8D"/>
    <w:rsid w:val="004B1CCC"/>
    <w:rsid w:val="004B2171"/>
    <w:rsid w:val="004B4E2B"/>
    <w:rsid w:val="004B660B"/>
    <w:rsid w:val="004C002A"/>
    <w:rsid w:val="004C0BC5"/>
    <w:rsid w:val="004C0C19"/>
    <w:rsid w:val="004C0EEF"/>
    <w:rsid w:val="004C516B"/>
    <w:rsid w:val="004C5F4B"/>
    <w:rsid w:val="004D44DD"/>
    <w:rsid w:val="004D770A"/>
    <w:rsid w:val="004D7D06"/>
    <w:rsid w:val="004E2A2D"/>
    <w:rsid w:val="004E72D2"/>
    <w:rsid w:val="004F4C75"/>
    <w:rsid w:val="004F5D75"/>
    <w:rsid w:val="004F6265"/>
    <w:rsid w:val="00503D22"/>
    <w:rsid w:val="00504313"/>
    <w:rsid w:val="00521437"/>
    <w:rsid w:val="00521646"/>
    <w:rsid w:val="0052681C"/>
    <w:rsid w:val="0053121C"/>
    <w:rsid w:val="00534E7B"/>
    <w:rsid w:val="005373D1"/>
    <w:rsid w:val="00540610"/>
    <w:rsid w:val="005416ED"/>
    <w:rsid w:val="0054183E"/>
    <w:rsid w:val="00547ADB"/>
    <w:rsid w:val="0055288A"/>
    <w:rsid w:val="0055297E"/>
    <w:rsid w:val="00557FED"/>
    <w:rsid w:val="00564E9A"/>
    <w:rsid w:val="0056510B"/>
    <w:rsid w:val="00573C56"/>
    <w:rsid w:val="00574378"/>
    <w:rsid w:val="005750D9"/>
    <w:rsid w:val="00575FB4"/>
    <w:rsid w:val="00580856"/>
    <w:rsid w:val="00581A34"/>
    <w:rsid w:val="0058265E"/>
    <w:rsid w:val="00585D5A"/>
    <w:rsid w:val="005A15F0"/>
    <w:rsid w:val="005A3BE5"/>
    <w:rsid w:val="005A4C71"/>
    <w:rsid w:val="005B1DAA"/>
    <w:rsid w:val="005B5F4D"/>
    <w:rsid w:val="005B7FDA"/>
    <w:rsid w:val="006018BB"/>
    <w:rsid w:val="00601F56"/>
    <w:rsid w:val="00603BEB"/>
    <w:rsid w:val="00610439"/>
    <w:rsid w:val="00614943"/>
    <w:rsid w:val="00614C35"/>
    <w:rsid w:val="00621A6B"/>
    <w:rsid w:val="0062608D"/>
    <w:rsid w:val="00631E22"/>
    <w:rsid w:val="00631FAA"/>
    <w:rsid w:val="0063330B"/>
    <w:rsid w:val="006355A8"/>
    <w:rsid w:val="0065356C"/>
    <w:rsid w:val="006577B3"/>
    <w:rsid w:val="00663546"/>
    <w:rsid w:val="0068067A"/>
    <w:rsid w:val="00680787"/>
    <w:rsid w:val="0068627B"/>
    <w:rsid w:val="00687E3F"/>
    <w:rsid w:val="006906BB"/>
    <w:rsid w:val="00697145"/>
    <w:rsid w:val="006A0323"/>
    <w:rsid w:val="006A5AFE"/>
    <w:rsid w:val="006B2FBD"/>
    <w:rsid w:val="006B57B3"/>
    <w:rsid w:val="006C5BB5"/>
    <w:rsid w:val="006C63E1"/>
    <w:rsid w:val="006C66DB"/>
    <w:rsid w:val="006D3B50"/>
    <w:rsid w:val="006D416D"/>
    <w:rsid w:val="006F1934"/>
    <w:rsid w:val="006F7006"/>
    <w:rsid w:val="006F7E34"/>
    <w:rsid w:val="007007A2"/>
    <w:rsid w:val="00703999"/>
    <w:rsid w:val="00712E91"/>
    <w:rsid w:val="00752C06"/>
    <w:rsid w:val="007639DE"/>
    <w:rsid w:val="00766DA9"/>
    <w:rsid w:val="00767FD4"/>
    <w:rsid w:val="00776173"/>
    <w:rsid w:val="00781B08"/>
    <w:rsid w:val="00786345"/>
    <w:rsid w:val="0079090B"/>
    <w:rsid w:val="00793BE1"/>
    <w:rsid w:val="00797D9B"/>
    <w:rsid w:val="007A0641"/>
    <w:rsid w:val="007B40F0"/>
    <w:rsid w:val="007B5633"/>
    <w:rsid w:val="007C2555"/>
    <w:rsid w:val="007E70AB"/>
    <w:rsid w:val="00800298"/>
    <w:rsid w:val="00802FAD"/>
    <w:rsid w:val="00804D18"/>
    <w:rsid w:val="00805ACE"/>
    <w:rsid w:val="00810A57"/>
    <w:rsid w:val="008139BC"/>
    <w:rsid w:val="0081467E"/>
    <w:rsid w:val="00825614"/>
    <w:rsid w:val="0082651B"/>
    <w:rsid w:val="008408BF"/>
    <w:rsid w:val="00842412"/>
    <w:rsid w:val="00844963"/>
    <w:rsid w:val="00851DB2"/>
    <w:rsid w:val="00854829"/>
    <w:rsid w:val="0086047A"/>
    <w:rsid w:val="008604DC"/>
    <w:rsid w:val="008638AF"/>
    <w:rsid w:val="00866001"/>
    <w:rsid w:val="008734DE"/>
    <w:rsid w:val="00873A6F"/>
    <w:rsid w:val="00892679"/>
    <w:rsid w:val="00893964"/>
    <w:rsid w:val="008A7482"/>
    <w:rsid w:val="008B60D6"/>
    <w:rsid w:val="008C4EE2"/>
    <w:rsid w:val="008C7167"/>
    <w:rsid w:val="008D15D0"/>
    <w:rsid w:val="008E3820"/>
    <w:rsid w:val="008F4D09"/>
    <w:rsid w:val="009055C5"/>
    <w:rsid w:val="00913CEB"/>
    <w:rsid w:val="00917975"/>
    <w:rsid w:val="00926B85"/>
    <w:rsid w:val="00926F78"/>
    <w:rsid w:val="0093331A"/>
    <w:rsid w:val="00933D2B"/>
    <w:rsid w:val="00963187"/>
    <w:rsid w:val="00967123"/>
    <w:rsid w:val="00971403"/>
    <w:rsid w:val="00977045"/>
    <w:rsid w:val="0098419E"/>
    <w:rsid w:val="00993B18"/>
    <w:rsid w:val="00994AE1"/>
    <w:rsid w:val="009B2DE2"/>
    <w:rsid w:val="009C3452"/>
    <w:rsid w:val="009C525A"/>
    <w:rsid w:val="009D128C"/>
    <w:rsid w:val="009D3DA0"/>
    <w:rsid w:val="009D5DC5"/>
    <w:rsid w:val="009D7082"/>
    <w:rsid w:val="009E62E7"/>
    <w:rsid w:val="009E6E6E"/>
    <w:rsid w:val="009E7D3F"/>
    <w:rsid w:val="009F06A1"/>
    <w:rsid w:val="009F1DAB"/>
    <w:rsid w:val="00A14710"/>
    <w:rsid w:val="00A21B39"/>
    <w:rsid w:val="00A257D9"/>
    <w:rsid w:val="00A32F98"/>
    <w:rsid w:val="00A360A5"/>
    <w:rsid w:val="00A36DD1"/>
    <w:rsid w:val="00A37FFC"/>
    <w:rsid w:val="00A451DA"/>
    <w:rsid w:val="00A667F3"/>
    <w:rsid w:val="00A72295"/>
    <w:rsid w:val="00A81AAC"/>
    <w:rsid w:val="00A82B15"/>
    <w:rsid w:val="00A84FFD"/>
    <w:rsid w:val="00A911C3"/>
    <w:rsid w:val="00A9253A"/>
    <w:rsid w:val="00A969F1"/>
    <w:rsid w:val="00AA039B"/>
    <w:rsid w:val="00AA5883"/>
    <w:rsid w:val="00AB6E8B"/>
    <w:rsid w:val="00AC02A9"/>
    <w:rsid w:val="00AC1398"/>
    <w:rsid w:val="00AC29BD"/>
    <w:rsid w:val="00AD7ED7"/>
    <w:rsid w:val="00AD7FE6"/>
    <w:rsid w:val="00AE4B00"/>
    <w:rsid w:val="00B03AF6"/>
    <w:rsid w:val="00B05026"/>
    <w:rsid w:val="00B21843"/>
    <w:rsid w:val="00B22074"/>
    <w:rsid w:val="00B23525"/>
    <w:rsid w:val="00B315C7"/>
    <w:rsid w:val="00B40A74"/>
    <w:rsid w:val="00B40CC0"/>
    <w:rsid w:val="00B440E5"/>
    <w:rsid w:val="00B52889"/>
    <w:rsid w:val="00B53AA4"/>
    <w:rsid w:val="00B55BD0"/>
    <w:rsid w:val="00B574AC"/>
    <w:rsid w:val="00B62734"/>
    <w:rsid w:val="00B65778"/>
    <w:rsid w:val="00B661EA"/>
    <w:rsid w:val="00B66BFD"/>
    <w:rsid w:val="00B66DA9"/>
    <w:rsid w:val="00B70461"/>
    <w:rsid w:val="00B716D7"/>
    <w:rsid w:val="00B73AE7"/>
    <w:rsid w:val="00B8779A"/>
    <w:rsid w:val="00B9010B"/>
    <w:rsid w:val="00B910BE"/>
    <w:rsid w:val="00B910FA"/>
    <w:rsid w:val="00B92EE7"/>
    <w:rsid w:val="00B95CF9"/>
    <w:rsid w:val="00B9632B"/>
    <w:rsid w:val="00BA6D11"/>
    <w:rsid w:val="00BB129B"/>
    <w:rsid w:val="00BB47A1"/>
    <w:rsid w:val="00BB73B1"/>
    <w:rsid w:val="00BC182F"/>
    <w:rsid w:val="00BD2116"/>
    <w:rsid w:val="00BD27B5"/>
    <w:rsid w:val="00BD6EFC"/>
    <w:rsid w:val="00BD6FE4"/>
    <w:rsid w:val="00BE7040"/>
    <w:rsid w:val="00BF7BC5"/>
    <w:rsid w:val="00C04022"/>
    <w:rsid w:val="00C117E7"/>
    <w:rsid w:val="00C20B66"/>
    <w:rsid w:val="00C25183"/>
    <w:rsid w:val="00C316F2"/>
    <w:rsid w:val="00C47E65"/>
    <w:rsid w:val="00C5051E"/>
    <w:rsid w:val="00C53814"/>
    <w:rsid w:val="00C6170F"/>
    <w:rsid w:val="00C62D72"/>
    <w:rsid w:val="00C63118"/>
    <w:rsid w:val="00C71446"/>
    <w:rsid w:val="00C7216F"/>
    <w:rsid w:val="00C7499E"/>
    <w:rsid w:val="00C75435"/>
    <w:rsid w:val="00C77ADC"/>
    <w:rsid w:val="00C82CDA"/>
    <w:rsid w:val="00C95302"/>
    <w:rsid w:val="00CA1303"/>
    <w:rsid w:val="00CA59DA"/>
    <w:rsid w:val="00CB215D"/>
    <w:rsid w:val="00CC1628"/>
    <w:rsid w:val="00CD2E58"/>
    <w:rsid w:val="00CD313B"/>
    <w:rsid w:val="00CD3FB3"/>
    <w:rsid w:val="00CD686B"/>
    <w:rsid w:val="00CE1E11"/>
    <w:rsid w:val="00CE43F9"/>
    <w:rsid w:val="00CE48D0"/>
    <w:rsid w:val="00CE6BFB"/>
    <w:rsid w:val="00CF3EF7"/>
    <w:rsid w:val="00D00999"/>
    <w:rsid w:val="00D010DC"/>
    <w:rsid w:val="00D01A63"/>
    <w:rsid w:val="00D13A69"/>
    <w:rsid w:val="00D17D5D"/>
    <w:rsid w:val="00D17FF7"/>
    <w:rsid w:val="00D222C2"/>
    <w:rsid w:val="00D22F51"/>
    <w:rsid w:val="00D23604"/>
    <w:rsid w:val="00D302B6"/>
    <w:rsid w:val="00D33E1A"/>
    <w:rsid w:val="00D366E7"/>
    <w:rsid w:val="00D427FE"/>
    <w:rsid w:val="00D44D72"/>
    <w:rsid w:val="00D47D3C"/>
    <w:rsid w:val="00D52B56"/>
    <w:rsid w:val="00D55B52"/>
    <w:rsid w:val="00D560E5"/>
    <w:rsid w:val="00D61195"/>
    <w:rsid w:val="00D65497"/>
    <w:rsid w:val="00D66265"/>
    <w:rsid w:val="00D7142C"/>
    <w:rsid w:val="00D7585D"/>
    <w:rsid w:val="00D82413"/>
    <w:rsid w:val="00D86279"/>
    <w:rsid w:val="00D8708F"/>
    <w:rsid w:val="00D92DEE"/>
    <w:rsid w:val="00D96B11"/>
    <w:rsid w:val="00D9712B"/>
    <w:rsid w:val="00DA17BC"/>
    <w:rsid w:val="00DA366B"/>
    <w:rsid w:val="00DA708B"/>
    <w:rsid w:val="00DA73F0"/>
    <w:rsid w:val="00DA7EDB"/>
    <w:rsid w:val="00DB052D"/>
    <w:rsid w:val="00DB0C64"/>
    <w:rsid w:val="00DB0EE1"/>
    <w:rsid w:val="00DC2AE6"/>
    <w:rsid w:val="00DC79D3"/>
    <w:rsid w:val="00DD0307"/>
    <w:rsid w:val="00DF4619"/>
    <w:rsid w:val="00E00442"/>
    <w:rsid w:val="00E0243F"/>
    <w:rsid w:val="00E024EA"/>
    <w:rsid w:val="00E053B7"/>
    <w:rsid w:val="00E117D1"/>
    <w:rsid w:val="00E13866"/>
    <w:rsid w:val="00E17F6D"/>
    <w:rsid w:val="00E31FC8"/>
    <w:rsid w:val="00E363F7"/>
    <w:rsid w:val="00E41032"/>
    <w:rsid w:val="00E5147D"/>
    <w:rsid w:val="00E52011"/>
    <w:rsid w:val="00E521DF"/>
    <w:rsid w:val="00E55AB0"/>
    <w:rsid w:val="00E62047"/>
    <w:rsid w:val="00E624D0"/>
    <w:rsid w:val="00E70ED2"/>
    <w:rsid w:val="00E77C29"/>
    <w:rsid w:val="00E83484"/>
    <w:rsid w:val="00E91B7E"/>
    <w:rsid w:val="00EA2BA9"/>
    <w:rsid w:val="00EA76BD"/>
    <w:rsid w:val="00EB1413"/>
    <w:rsid w:val="00EB6324"/>
    <w:rsid w:val="00EB66AB"/>
    <w:rsid w:val="00EC033D"/>
    <w:rsid w:val="00EC228F"/>
    <w:rsid w:val="00ED0FEF"/>
    <w:rsid w:val="00ED4897"/>
    <w:rsid w:val="00EF0545"/>
    <w:rsid w:val="00EF4E7E"/>
    <w:rsid w:val="00F005FB"/>
    <w:rsid w:val="00F03080"/>
    <w:rsid w:val="00F04B4D"/>
    <w:rsid w:val="00F1162F"/>
    <w:rsid w:val="00F11F6B"/>
    <w:rsid w:val="00F277A1"/>
    <w:rsid w:val="00F30BB4"/>
    <w:rsid w:val="00F31041"/>
    <w:rsid w:val="00F534E6"/>
    <w:rsid w:val="00F61E89"/>
    <w:rsid w:val="00F72DD2"/>
    <w:rsid w:val="00F776D4"/>
    <w:rsid w:val="00F86601"/>
    <w:rsid w:val="00F91028"/>
    <w:rsid w:val="00F95F07"/>
    <w:rsid w:val="00FA2C61"/>
    <w:rsid w:val="00FB3947"/>
    <w:rsid w:val="00FC02EC"/>
    <w:rsid w:val="00FC21BC"/>
    <w:rsid w:val="00FC7F8B"/>
    <w:rsid w:val="00FD0714"/>
    <w:rsid w:val="00FD1275"/>
    <w:rsid w:val="00FD3123"/>
    <w:rsid w:val="00FD3794"/>
    <w:rsid w:val="00FE1F18"/>
    <w:rsid w:val="00FF1F2C"/>
    <w:rsid w:val="00FF293E"/>
    <w:rsid w:val="00FF304E"/>
    <w:rsid w:val="00FF50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7C56"/>
  <w15:docId w15:val="{186181AB-72F1-4AF0-A047-13DAE8C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46480974">
      <w:bodyDiv w:val="1"/>
      <w:marLeft w:val="0"/>
      <w:marRight w:val="0"/>
      <w:marTop w:val="0"/>
      <w:marBottom w:val="0"/>
      <w:divBdr>
        <w:top w:val="none" w:sz="0" w:space="0" w:color="auto"/>
        <w:left w:val="none" w:sz="0" w:space="0" w:color="auto"/>
        <w:bottom w:val="none" w:sz="0" w:space="0" w:color="auto"/>
        <w:right w:val="none" w:sz="0" w:space="0" w:color="auto"/>
      </w:divBdr>
    </w:div>
    <w:div w:id="946618250">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449549616">
      <w:bodyDiv w:val="1"/>
      <w:marLeft w:val="0"/>
      <w:marRight w:val="0"/>
      <w:marTop w:val="0"/>
      <w:marBottom w:val="0"/>
      <w:divBdr>
        <w:top w:val="none" w:sz="0" w:space="0" w:color="auto"/>
        <w:left w:val="none" w:sz="0" w:space="0" w:color="auto"/>
        <w:bottom w:val="none" w:sz="0" w:space="0" w:color="auto"/>
        <w:right w:val="none" w:sz="0" w:space="0" w:color="auto"/>
      </w:divBdr>
    </w:div>
    <w:div w:id="1653678220">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00185421">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TODDAR@idem.I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ent.Goetz@epa.ohio.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9DCE-DF92-4300-B10D-46763361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Carleski, Richard</dc:creator>
  <cp:lastModifiedBy>Goetz, Brent</cp:lastModifiedBy>
  <cp:revision>7</cp:revision>
  <dcterms:created xsi:type="dcterms:W3CDTF">2017-09-28T16:19:00Z</dcterms:created>
  <dcterms:modified xsi:type="dcterms:W3CDTF">2017-10-11T15:26:00Z</dcterms:modified>
</cp:coreProperties>
</file>