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700C577"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NSC Technical Subcommittee Call Minutes – </w:t>
      </w:r>
      <w:r w:rsidR="005446F3">
        <w:rPr>
          <w:rFonts w:ascii="Arial" w:eastAsia="Arial" w:hAnsi="Arial" w:cs="Arial"/>
          <w:b/>
          <w:sz w:val="24"/>
          <w:szCs w:val="24"/>
        </w:rPr>
        <w:t>August 17</w:t>
      </w:r>
      <w:r w:rsidR="0097647D">
        <w:rPr>
          <w:rFonts w:ascii="Arial" w:eastAsia="Arial" w:hAnsi="Arial" w:cs="Arial"/>
          <w:b/>
          <w:sz w:val="24"/>
          <w:szCs w:val="24"/>
        </w:rPr>
        <w:t>, 2021</w:t>
      </w:r>
      <w:r>
        <w:rPr>
          <w:rFonts w:ascii="Arial" w:eastAsia="Arial" w:hAnsi="Arial" w:cs="Arial"/>
          <w:b/>
          <w:sz w:val="24"/>
          <w:szCs w:val="24"/>
        </w:rPr>
        <w:t xml:space="preserve"> </w:t>
      </w:r>
    </w:p>
    <w:p w14:paraId="00000002" w14:textId="77777777"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Participation [by regions]:</w:t>
      </w:r>
    </w:p>
    <w:p w14:paraId="6978ABB2" w14:textId="72F0BC89" w:rsidR="008626B5" w:rsidRPr="008626B5" w:rsidRDefault="008626B5" w:rsidP="005F1D1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bCs/>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Arial" w:eastAsia="Arial" w:hAnsi="Arial" w:cs="Arial"/>
          <w:sz w:val="24"/>
          <w:szCs w:val="24"/>
        </w:rPr>
        <w:t>2:</w:t>
      </w:r>
      <w:r>
        <w:rPr>
          <w:rFonts w:ascii="Arial" w:eastAsia="Arial" w:hAnsi="Arial" w:cs="Arial"/>
          <w:sz w:val="24"/>
          <w:szCs w:val="24"/>
        </w:rPr>
        <w:tab/>
      </w:r>
      <w:r w:rsidR="005446F3">
        <w:rPr>
          <w:rFonts w:ascii="Arial" w:eastAsia="Arial" w:hAnsi="Arial" w:cs="Arial"/>
          <w:sz w:val="24"/>
          <w:szCs w:val="24"/>
        </w:rPr>
        <w:t>Ed Bakos</w:t>
      </w:r>
      <w:r>
        <w:rPr>
          <w:rFonts w:ascii="Arial" w:eastAsia="Arial" w:hAnsi="Arial" w:cs="Arial"/>
          <w:sz w:val="24"/>
          <w:szCs w:val="24"/>
        </w:rPr>
        <w:t xml:space="preserve"> - </w:t>
      </w:r>
      <w:r>
        <w:rPr>
          <w:rFonts w:ascii="Arial" w:eastAsia="Arial" w:hAnsi="Arial" w:cs="Arial"/>
          <w:b/>
          <w:bCs/>
          <w:sz w:val="24"/>
          <w:szCs w:val="24"/>
        </w:rPr>
        <w:t>NJ</w:t>
      </w:r>
    </w:p>
    <w:p w14:paraId="00000005" w14:textId="02EF9936" w:rsidR="000B0B9B" w:rsidRPr="003135A4" w:rsidRDefault="007C24B1" w:rsidP="005F1D1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sz w:val="24"/>
          <w:szCs w:val="24"/>
        </w:rPr>
        <w:t>3:</w:t>
      </w:r>
      <w:r>
        <w:rPr>
          <w:rFonts w:ascii="Arial" w:eastAsia="Arial" w:hAnsi="Arial" w:cs="Arial"/>
          <w:sz w:val="24"/>
          <w:szCs w:val="24"/>
        </w:rPr>
        <w:tab/>
      </w:r>
      <w:r w:rsidR="00C76CEF">
        <w:rPr>
          <w:rFonts w:ascii="Arial" w:eastAsia="Arial" w:hAnsi="Arial" w:cs="Arial"/>
          <w:sz w:val="24"/>
          <w:szCs w:val="24"/>
        </w:rPr>
        <w:t>Jeremy Hancher</w:t>
      </w:r>
      <w:r w:rsidR="00E05AE9">
        <w:rPr>
          <w:rFonts w:ascii="Arial" w:eastAsia="Arial" w:hAnsi="Arial" w:cs="Arial"/>
          <w:sz w:val="24"/>
          <w:szCs w:val="24"/>
        </w:rPr>
        <w:t>, Lee Ann Briggs, Carrie Wintersteen,</w:t>
      </w:r>
      <w:r w:rsidR="002F078C">
        <w:rPr>
          <w:rFonts w:ascii="Arial" w:eastAsia="Arial" w:hAnsi="Arial" w:cs="Arial"/>
          <w:sz w:val="24"/>
          <w:szCs w:val="24"/>
        </w:rPr>
        <w:t xml:space="preserve"> Lu</w:t>
      </w:r>
      <w:r w:rsidR="00D46288">
        <w:rPr>
          <w:rFonts w:ascii="Arial" w:eastAsia="Arial" w:hAnsi="Arial" w:cs="Arial"/>
          <w:sz w:val="24"/>
          <w:szCs w:val="24"/>
        </w:rPr>
        <w:t>ke Hershey</w:t>
      </w:r>
      <w:r w:rsidR="00A648EE">
        <w:rPr>
          <w:rFonts w:ascii="Arial" w:eastAsia="Arial" w:hAnsi="Arial" w:cs="Arial"/>
          <w:sz w:val="24"/>
          <w:szCs w:val="24"/>
        </w:rPr>
        <w:t xml:space="preserve"> </w:t>
      </w:r>
      <w:r w:rsidRPr="0090194B">
        <w:rPr>
          <w:rFonts w:ascii="Arial" w:eastAsia="Arial" w:hAnsi="Arial" w:cs="Arial"/>
          <w:bCs/>
          <w:sz w:val="24"/>
          <w:szCs w:val="24"/>
        </w:rPr>
        <w:t>–</w:t>
      </w:r>
      <w:r>
        <w:rPr>
          <w:rFonts w:ascii="Arial" w:eastAsia="Arial" w:hAnsi="Arial" w:cs="Arial"/>
          <w:b/>
          <w:sz w:val="24"/>
          <w:szCs w:val="24"/>
        </w:rPr>
        <w:t xml:space="preserve"> PA</w:t>
      </w:r>
    </w:p>
    <w:p w14:paraId="0F407721" w14:textId="2C637CB0" w:rsidR="00C56C81" w:rsidRPr="00B41459" w:rsidRDefault="00C56C81" w:rsidP="00E12B8B">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bCs/>
          <w:sz w:val="24"/>
          <w:szCs w:val="24"/>
        </w:rPr>
      </w:pPr>
      <w:r>
        <w:rPr>
          <w:rFonts w:ascii="Arial" w:eastAsia="Arial" w:hAnsi="Arial" w:cs="Arial"/>
          <w:sz w:val="24"/>
          <w:szCs w:val="24"/>
        </w:rPr>
        <w:t>4:</w:t>
      </w:r>
      <w:r>
        <w:rPr>
          <w:rFonts w:ascii="Arial" w:eastAsia="Arial" w:hAnsi="Arial" w:cs="Arial"/>
          <w:sz w:val="24"/>
          <w:szCs w:val="24"/>
        </w:rPr>
        <w:tab/>
        <w:t>Donovan Grimwood</w:t>
      </w:r>
      <w:r w:rsidR="005446F3">
        <w:rPr>
          <w:rFonts w:ascii="Arial" w:eastAsia="Arial" w:hAnsi="Arial" w:cs="Arial"/>
          <w:sz w:val="24"/>
          <w:szCs w:val="24"/>
        </w:rPr>
        <w:t>, Crystal Warren</w:t>
      </w:r>
      <w:r w:rsidR="006A668A">
        <w:rPr>
          <w:rFonts w:ascii="Arial" w:eastAsia="Arial" w:hAnsi="Arial" w:cs="Arial"/>
          <w:sz w:val="24"/>
          <w:szCs w:val="24"/>
        </w:rPr>
        <w:t xml:space="preserve"> </w:t>
      </w:r>
      <w:r>
        <w:rPr>
          <w:rFonts w:ascii="Arial" w:eastAsia="Arial" w:hAnsi="Arial" w:cs="Arial"/>
          <w:sz w:val="24"/>
          <w:szCs w:val="24"/>
        </w:rPr>
        <w:t xml:space="preserve">– </w:t>
      </w:r>
      <w:r w:rsidR="0094510B" w:rsidRPr="0094510B">
        <w:rPr>
          <w:rFonts w:ascii="Arial" w:eastAsia="Arial" w:hAnsi="Arial" w:cs="Arial"/>
          <w:b/>
          <w:bCs/>
          <w:sz w:val="24"/>
          <w:szCs w:val="24"/>
        </w:rPr>
        <w:t>T</w:t>
      </w:r>
      <w:r w:rsidRPr="0094510B">
        <w:rPr>
          <w:rFonts w:ascii="Arial" w:eastAsia="Arial" w:hAnsi="Arial" w:cs="Arial"/>
          <w:b/>
          <w:bCs/>
          <w:sz w:val="24"/>
          <w:szCs w:val="24"/>
        </w:rPr>
        <w:t>N</w:t>
      </w:r>
      <w:r w:rsidR="003135A4">
        <w:rPr>
          <w:rFonts w:ascii="Arial" w:eastAsia="Arial" w:hAnsi="Arial" w:cs="Arial"/>
          <w:bCs/>
          <w:sz w:val="24"/>
          <w:szCs w:val="24"/>
        </w:rPr>
        <w:t xml:space="preserve">, </w:t>
      </w:r>
      <w:r w:rsidR="00F83C6F">
        <w:rPr>
          <w:rFonts w:ascii="Arial" w:eastAsia="Arial" w:hAnsi="Arial" w:cs="Arial"/>
          <w:sz w:val="24"/>
          <w:szCs w:val="24"/>
        </w:rPr>
        <w:t>Trayce Moore-Thomas</w:t>
      </w:r>
      <w:r w:rsidR="00474BBA">
        <w:rPr>
          <w:rFonts w:ascii="Arial" w:eastAsia="Arial" w:hAnsi="Arial" w:cs="Arial"/>
          <w:sz w:val="24"/>
          <w:szCs w:val="24"/>
        </w:rPr>
        <w:t xml:space="preserve"> </w:t>
      </w:r>
      <w:r w:rsidR="003135A4">
        <w:rPr>
          <w:rFonts w:ascii="Arial" w:eastAsia="Arial" w:hAnsi="Arial" w:cs="Arial"/>
          <w:sz w:val="24"/>
          <w:szCs w:val="24"/>
        </w:rPr>
        <w:t>–</w:t>
      </w:r>
      <w:r w:rsidR="0090194B">
        <w:rPr>
          <w:rFonts w:ascii="Arial" w:eastAsia="Arial" w:hAnsi="Arial" w:cs="Arial"/>
          <w:sz w:val="24"/>
          <w:szCs w:val="24"/>
        </w:rPr>
        <w:t xml:space="preserve"> </w:t>
      </w:r>
      <w:r w:rsidR="00C76CEF">
        <w:rPr>
          <w:rFonts w:ascii="Arial" w:eastAsia="Arial" w:hAnsi="Arial" w:cs="Arial"/>
          <w:b/>
          <w:bCs/>
          <w:sz w:val="24"/>
          <w:szCs w:val="24"/>
        </w:rPr>
        <w:t>MS</w:t>
      </w:r>
      <w:r w:rsidR="00B41459">
        <w:rPr>
          <w:rFonts w:ascii="Arial" w:eastAsia="Arial" w:hAnsi="Arial" w:cs="Arial"/>
          <w:b/>
          <w:bCs/>
          <w:sz w:val="24"/>
          <w:szCs w:val="24"/>
        </w:rPr>
        <w:t xml:space="preserve">, </w:t>
      </w:r>
      <w:r w:rsidR="00B41459">
        <w:rPr>
          <w:rFonts w:ascii="Arial" w:eastAsia="Arial" w:hAnsi="Arial" w:cs="Arial"/>
          <w:sz w:val="24"/>
          <w:szCs w:val="24"/>
        </w:rPr>
        <w:t xml:space="preserve">Tony Pendola - </w:t>
      </w:r>
      <w:r w:rsidR="00B41459">
        <w:rPr>
          <w:rFonts w:ascii="Arial" w:eastAsia="Arial" w:hAnsi="Arial" w:cs="Arial"/>
          <w:b/>
          <w:bCs/>
          <w:sz w:val="24"/>
          <w:szCs w:val="24"/>
        </w:rPr>
        <w:t>NC</w:t>
      </w:r>
    </w:p>
    <w:p w14:paraId="62D61EAD" w14:textId="790EF2F6" w:rsidR="0097647D" w:rsidRPr="00E05AE9" w:rsidRDefault="007C24B1" w:rsidP="00BF75BB">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sz w:val="24"/>
          <w:szCs w:val="24"/>
        </w:rPr>
        <w:t>5:</w:t>
      </w:r>
      <w:r>
        <w:rPr>
          <w:rFonts w:ascii="Arial" w:eastAsia="Arial" w:hAnsi="Arial" w:cs="Arial"/>
          <w:sz w:val="24"/>
          <w:szCs w:val="24"/>
        </w:rPr>
        <w:tab/>
      </w:r>
      <w:r w:rsidR="00B55CFE">
        <w:rPr>
          <w:rFonts w:ascii="Arial" w:eastAsia="Arial" w:hAnsi="Arial" w:cs="Arial"/>
          <w:sz w:val="24"/>
          <w:szCs w:val="24"/>
        </w:rPr>
        <w:t>Jennifer Feyerherm</w:t>
      </w:r>
      <w:r w:rsidR="00B41459">
        <w:rPr>
          <w:rFonts w:ascii="Arial" w:eastAsia="Arial" w:hAnsi="Arial" w:cs="Arial"/>
          <w:sz w:val="24"/>
          <w:szCs w:val="24"/>
        </w:rPr>
        <w:t xml:space="preserve">, </w:t>
      </w:r>
      <w:r w:rsidR="008626B5">
        <w:rPr>
          <w:rFonts w:ascii="Arial" w:eastAsia="Arial" w:hAnsi="Arial" w:cs="Arial"/>
          <w:sz w:val="24"/>
          <w:szCs w:val="24"/>
        </w:rPr>
        <w:t>Renee Bashel</w:t>
      </w:r>
      <w:r w:rsidR="00B41459">
        <w:rPr>
          <w:rFonts w:ascii="Arial" w:eastAsia="Arial" w:hAnsi="Arial" w:cs="Arial"/>
          <w:sz w:val="24"/>
          <w:szCs w:val="24"/>
        </w:rPr>
        <w:t>, Lisa Ashenbrenner-Hunt</w:t>
      </w:r>
      <w:r>
        <w:rPr>
          <w:rFonts w:ascii="Arial" w:eastAsia="Arial" w:hAnsi="Arial" w:cs="Arial"/>
          <w:sz w:val="24"/>
          <w:szCs w:val="24"/>
        </w:rPr>
        <w:t xml:space="preserve">– </w:t>
      </w:r>
      <w:r>
        <w:rPr>
          <w:rFonts w:ascii="Arial" w:eastAsia="Arial" w:hAnsi="Arial" w:cs="Arial"/>
          <w:b/>
          <w:sz w:val="24"/>
          <w:szCs w:val="24"/>
        </w:rPr>
        <w:t>WI</w:t>
      </w:r>
      <w:r>
        <w:rPr>
          <w:rFonts w:ascii="Arial" w:eastAsia="Arial" w:hAnsi="Arial" w:cs="Arial"/>
          <w:sz w:val="24"/>
          <w:szCs w:val="24"/>
        </w:rPr>
        <w:t>;</w:t>
      </w:r>
      <w:r w:rsidR="00A54994">
        <w:rPr>
          <w:rFonts w:ascii="Arial" w:eastAsia="Arial" w:hAnsi="Arial" w:cs="Arial"/>
          <w:sz w:val="24"/>
          <w:szCs w:val="24"/>
        </w:rPr>
        <w:t xml:space="preserve"> </w:t>
      </w:r>
      <w:r w:rsidR="00820C59">
        <w:rPr>
          <w:rFonts w:ascii="Arial" w:eastAsia="Arial" w:hAnsi="Arial" w:cs="Arial"/>
          <w:sz w:val="24"/>
          <w:szCs w:val="24"/>
        </w:rPr>
        <w:t>Emily Ohde</w:t>
      </w:r>
      <w:r w:rsidR="000761DE">
        <w:rPr>
          <w:rFonts w:ascii="Arial" w:eastAsia="Arial" w:hAnsi="Arial" w:cs="Arial"/>
          <w:sz w:val="24"/>
          <w:szCs w:val="24"/>
        </w:rPr>
        <w:t xml:space="preserve"> </w:t>
      </w:r>
      <w:r w:rsidR="007E00B7">
        <w:rPr>
          <w:rFonts w:ascii="Arial" w:eastAsia="Arial" w:hAnsi="Arial" w:cs="Arial"/>
          <w:sz w:val="24"/>
          <w:szCs w:val="24"/>
        </w:rPr>
        <w:t xml:space="preserve">&amp; Jennifer Theodore </w:t>
      </w:r>
      <w:r w:rsidR="00D14319">
        <w:rPr>
          <w:rFonts w:ascii="Arial" w:eastAsia="Arial" w:hAnsi="Arial" w:cs="Arial"/>
          <w:sz w:val="24"/>
          <w:szCs w:val="24"/>
        </w:rPr>
        <w:t>–</w:t>
      </w:r>
      <w:r w:rsidR="0056263C">
        <w:rPr>
          <w:rFonts w:ascii="Arial" w:eastAsia="Arial" w:hAnsi="Arial" w:cs="Arial"/>
          <w:b/>
          <w:sz w:val="24"/>
          <w:szCs w:val="24"/>
        </w:rPr>
        <w:t xml:space="preserve"> MN</w:t>
      </w:r>
      <w:r w:rsidR="00D14319">
        <w:rPr>
          <w:rFonts w:ascii="Arial" w:eastAsia="Arial" w:hAnsi="Arial" w:cs="Arial"/>
          <w:bCs/>
          <w:sz w:val="24"/>
          <w:szCs w:val="24"/>
        </w:rPr>
        <w:t>,</w:t>
      </w:r>
      <w:r w:rsidR="00474BBA" w:rsidRPr="00A34F69">
        <w:rPr>
          <w:rFonts w:ascii="Arial" w:eastAsia="Arial" w:hAnsi="Arial" w:cs="Arial"/>
          <w:bCs/>
          <w:sz w:val="24"/>
          <w:szCs w:val="24"/>
        </w:rPr>
        <w:t xml:space="preserve"> </w:t>
      </w:r>
      <w:r>
        <w:rPr>
          <w:rFonts w:ascii="Arial" w:eastAsia="Arial" w:hAnsi="Arial" w:cs="Arial"/>
          <w:sz w:val="24"/>
          <w:szCs w:val="24"/>
        </w:rPr>
        <w:t>Mark Stoddar</w:t>
      </w:r>
      <w:r w:rsidR="005446F3">
        <w:rPr>
          <w:rFonts w:ascii="Arial" w:eastAsia="Arial" w:hAnsi="Arial" w:cs="Arial"/>
          <w:sz w:val="24"/>
          <w:szCs w:val="24"/>
        </w:rPr>
        <w:t>, Jennifer Collins</w:t>
      </w:r>
      <w:r w:rsidR="00E05AE9">
        <w:rPr>
          <w:rFonts w:ascii="Arial" w:eastAsia="Arial" w:hAnsi="Arial" w:cs="Arial"/>
          <w:sz w:val="24"/>
          <w:szCs w:val="24"/>
        </w:rPr>
        <w:t>, Angela Taylor</w:t>
      </w:r>
      <w:r w:rsidR="00A84990">
        <w:rPr>
          <w:rFonts w:ascii="Arial" w:eastAsia="Arial" w:hAnsi="Arial" w:cs="Arial"/>
          <w:sz w:val="24"/>
          <w:szCs w:val="24"/>
        </w:rPr>
        <w:t>, Chrystal Wagner, Hani Sharaya</w:t>
      </w:r>
      <w:r w:rsidR="0097647D">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b/>
          <w:sz w:val="24"/>
          <w:szCs w:val="24"/>
        </w:rPr>
        <w:t>IN</w:t>
      </w:r>
      <w:r w:rsidR="008626B5">
        <w:rPr>
          <w:rFonts w:ascii="Arial" w:eastAsia="Arial" w:hAnsi="Arial" w:cs="Arial"/>
          <w:b/>
          <w:sz w:val="24"/>
          <w:szCs w:val="24"/>
        </w:rPr>
        <w:t xml:space="preserve">, </w:t>
      </w:r>
      <w:r w:rsidR="008626B5">
        <w:rPr>
          <w:rFonts w:ascii="Arial" w:eastAsia="Arial" w:hAnsi="Arial" w:cs="Arial"/>
          <w:bCs/>
          <w:sz w:val="24"/>
          <w:szCs w:val="24"/>
        </w:rPr>
        <w:t xml:space="preserve">Alexis Andrews </w:t>
      </w:r>
      <w:r w:rsidR="005446F3">
        <w:rPr>
          <w:rFonts w:ascii="Arial" w:eastAsia="Arial" w:hAnsi="Arial" w:cs="Arial"/>
          <w:bCs/>
          <w:sz w:val="24"/>
          <w:szCs w:val="24"/>
        </w:rPr>
        <w:t>–</w:t>
      </w:r>
      <w:r w:rsidR="008626B5">
        <w:rPr>
          <w:rFonts w:ascii="Arial" w:eastAsia="Arial" w:hAnsi="Arial" w:cs="Arial"/>
          <w:bCs/>
          <w:sz w:val="24"/>
          <w:szCs w:val="24"/>
        </w:rPr>
        <w:t xml:space="preserve"> </w:t>
      </w:r>
      <w:r w:rsidR="008626B5">
        <w:rPr>
          <w:rFonts w:ascii="Arial" w:eastAsia="Arial" w:hAnsi="Arial" w:cs="Arial"/>
          <w:b/>
          <w:sz w:val="24"/>
          <w:szCs w:val="24"/>
        </w:rPr>
        <w:t>OH</w:t>
      </w:r>
      <w:r w:rsidR="005446F3">
        <w:rPr>
          <w:rFonts w:ascii="Arial" w:eastAsia="Arial" w:hAnsi="Arial" w:cs="Arial"/>
          <w:b/>
          <w:sz w:val="24"/>
          <w:szCs w:val="24"/>
        </w:rPr>
        <w:t xml:space="preserve">, </w:t>
      </w:r>
      <w:r w:rsidR="005446F3">
        <w:rPr>
          <w:rFonts w:ascii="Arial" w:eastAsia="Arial" w:hAnsi="Arial" w:cs="Arial"/>
          <w:bCs/>
          <w:sz w:val="24"/>
          <w:szCs w:val="24"/>
        </w:rPr>
        <w:t xml:space="preserve">Jenifer Dixon </w:t>
      </w:r>
      <w:r w:rsidR="00E05AE9">
        <w:rPr>
          <w:rFonts w:ascii="Arial" w:eastAsia="Arial" w:hAnsi="Arial" w:cs="Arial"/>
          <w:bCs/>
          <w:sz w:val="24"/>
          <w:szCs w:val="24"/>
        </w:rPr>
        <w:t>–</w:t>
      </w:r>
      <w:r w:rsidR="005446F3">
        <w:rPr>
          <w:rFonts w:ascii="Arial" w:eastAsia="Arial" w:hAnsi="Arial" w:cs="Arial"/>
          <w:bCs/>
          <w:sz w:val="24"/>
          <w:szCs w:val="24"/>
        </w:rPr>
        <w:t xml:space="preserve"> </w:t>
      </w:r>
      <w:r w:rsidR="005446F3">
        <w:rPr>
          <w:rFonts w:ascii="Arial" w:eastAsia="Arial" w:hAnsi="Arial" w:cs="Arial"/>
          <w:b/>
          <w:sz w:val="24"/>
          <w:szCs w:val="24"/>
        </w:rPr>
        <w:t>MI</w:t>
      </w:r>
      <w:r w:rsidR="00E05AE9">
        <w:rPr>
          <w:rFonts w:ascii="Arial" w:eastAsia="Arial" w:hAnsi="Arial" w:cs="Arial"/>
          <w:b/>
          <w:sz w:val="24"/>
          <w:szCs w:val="24"/>
        </w:rPr>
        <w:t xml:space="preserve">, </w:t>
      </w:r>
      <w:r w:rsidR="00E05AE9">
        <w:rPr>
          <w:rFonts w:ascii="Arial" w:eastAsia="Arial" w:hAnsi="Arial" w:cs="Arial"/>
          <w:bCs/>
          <w:sz w:val="24"/>
          <w:szCs w:val="24"/>
        </w:rPr>
        <w:t xml:space="preserve">Brittany Strobel </w:t>
      </w:r>
      <w:r w:rsidR="00E05AE9">
        <w:rPr>
          <w:rFonts w:ascii="Arial" w:eastAsia="Arial" w:hAnsi="Arial" w:cs="Arial"/>
          <w:b/>
          <w:sz w:val="24"/>
          <w:szCs w:val="24"/>
        </w:rPr>
        <w:t xml:space="preserve"> - IL</w:t>
      </w:r>
    </w:p>
    <w:p w14:paraId="00000008" w14:textId="04A0B4D7" w:rsidR="000B0B9B" w:rsidRPr="008626B5"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sz w:val="24"/>
          <w:szCs w:val="24"/>
        </w:rPr>
        <w:t>7:</w:t>
      </w:r>
      <w:r>
        <w:rPr>
          <w:rFonts w:ascii="Arial" w:eastAsia="Arial" w:hAnsi="Arial" w:cs="Arial"/>
          <w:sz w:val="24"/>
          <w:szCs w:val="24"/>
        </w:rPr>
        <w:tab/>
      </w:r>
      <w:r w:rsidR="006A668A">
        <w:rPr>
          <w:rFonts w:ascii="Arial" w:eastAsia="Arial" w:hAnsi="Arial" w:cs="Arial"/>
          <w:sz w:val="24"/>
          <w:szCs w:val="24"/>
        </w:rPr>
        <w:t>Allison Crowther</w:t>
      </w:r>
      <w:r>
        <w:rPr>
          <w:rFonts w:ascii="Arial" w:eastAsia="Arial" w:hAnsi="Arial" w:cs="Arial"/>
          <w:sz w:val="24"/>
          <w:szCs w:val="24"/>
        </w:rPr>
        <w:t xml:space="preserve">– </w:t>
      </w:r>
      <w:r>
        <w:rPr>
          <w:rFonts w:ascii="Arial" w:eastAsia="Arial" w:hAnsi="Arial" w:cs="Arial"/>
          <w:b/>
          <w:sz w:val="24"/>
          <w:szCs w:val="24"/>
        </w:rPr>
        <w:t>KS</w:t>
      </w:r>
      <w:r w:rsidR="008626B5">
        <w:rPr>
          <w:rFonts w:ascii="Arial" w:eastAsia="Arial" w:hAnsi="Arial" w:cs="Arial"/>
          <w:b/>
          <w:sz w:val="24"/>
          <w:szCs w:val="24"/>
        </w:rPr>
        <w:t xml:space="preserve">, </w:t>
      </w:r>
      <w:r w:rsidR="008626B5">
        <w:rPr>
          <w:rFonts w:ascii="Arial" w:eastAsia="Arial" w:hAnsi="Arial" w:cs="Arial"/>
          <w:bCs/>
          <w:sz w:val="24"/>
          <w:szCs w:val="24"/>
        </w:rPr>
        <w:t xml:space="preserve">Jennifer Wittenburg - </w:t>
      </w:r>
      <w:r w:rsidR="008626B5">
        <w:rPr>
          <w:rFonts w:ascii="Arial" w:eastAsia="Arial" w:hAnsi="Arial" w:cs="Arial"/>
          <w:b/>
          <w:sz w:val="24"/>
          <w:szCs w:val="24"/>
        </w:rPr>
        <w:t>IA</w:t>
      </w:r>
    </w:p>
    <w:p w14:paraId="19081BEA" w14:textId="67367481" w:rsidR="00143165" w:rsidRPr="008D6155" w:rsidRDefault="00143165">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bCs/>
          <w:sz w:val="24"/>
          <w:szCs w:val="24"/>
        </w:rPr>
        <w:t>8:</w:t>
      </w:r>
      <w:r>
        <w:rPr>
          <w:rFonts w:ascii="Arial" w:eastAsia="Arial" w:hAnsi="Arial" w:cs="Arial"/>
          <w:bCs/>
          <w:sz w:val="24"/>
          <w:szCs w:val="24"/>
        </w:rPr>
        <w:tab/>
      </w:r>
      <w:r w:rsidR="008D6155">
        <w:rPr>
          <w:rFonts w:ascii="Arial" w:eastAsia="Arial" w:hAnsi="Arial" w:cs="Arial"/>
          <w:bCs/>
          <w:sz w:val="24"/>
          <w:szCs w:val="24"/>
        </w:rPr>
        <w:t xml:space="preserve">Eleanor Divver - </w:t>
      </w:r>
      <w:r w:rsidR="008D6155">
        <w:rPr>
          <w:rFonts w:ascii="Arial" w:eastAsia="Arial" w:hAnsi="Arial" w:cs="Arial"/>
          <w:b/>
          <w:sz w:val="24"/>
          <w:szCs w:val="24"/>
        </w:rPr>
        <w:t>UT</w:t>
      </w:r>
    </w:p>
    <w:p w14:paraId="17B33802" w14:textId="1C57AEC1" w:rsidR="003135A4" w:rsidRPr="008626B5" w:rsidRDefault="003135A4">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u w:val="single"/>
        </w:rPr>
      </w:pPr>
      <w:r>
        <w:rPr>
          <w:rFonts w:ascii="Arial" w:eastAsia="Arial" w:hAnsi="Arial" w:cs="Arial"/>
          <w:bCs/>
          <w:sz w:val="24"/>
          <w:szCs w:val="24"/>
        </w:rPr>
        <w:t>9:</w:t>
      </w:r>
      <w:r>
        <w:rPr>
          <w:rFonts w:ascii="Arial" w:eastAsia="Arial" w:hAnsi="Arial" w:cs="Arial"/>
          <w:bCs/>
          <w:sz w:val="24"/>
          <w:szCs w:val="24"/>
        </w:rPr>
        <w:tab/>
      </w:r>
      <w:r w:rsidR="005446F3">
        <w:rPr>
          <w:rFonts w:ascii="Arial" w:eastAsia="Arial" w:hAnsi="Arial" w:cs="Arial"/>
          <w:bCs/>
          <w:sz w:val="24"/>
          <w:szCs w:val="24"/>
        </w:rPr>
        <w:t>Eric Florio</w:t>
      </w:r>
      <w:r>
        <w:rPr>
          <w:rFonts w:ascii="Arial" w:eastAsia="Arial" w:hAnsi="Arial" w:cs="Arial"/>
          <w:bCs/>
          <w:sz w:val="24"/>
          <w:szCs w:val="24"/>
        </w:rPr>
        <w:t xml:space="preserve"> – </w:t>
      </w:r>
      <w:r>
        <w:rPr>
          <w:rFonts w:ascii="Arial" w:eastAsia="Arial" w:hAnsi="Arial" w:cs="Arial"/>
          <w:b/>
          <w:sz w:val="24"/>
          <w:szCs w:val="24"/>
        </w:rPr>
        <w:t>N</w:t>
      </w:r>
      <w:r w:rsidR="005446F3">
        <w:rPr>
          <w:rFonts w:ascii="Arial" w:eastAsia="Arial" w:hAnsi="Arial" w:cs="Arial"/>
          <w:b/>
          <w:sz w:val="24"/>
          <w:szCs w:val="24"/>
        </w:rPr>
        <w:t>V</w:t>
      </w:r>
      <w:r w:rsidR="008626B5">
        <w:rPr>
          <w:rFonts w:ascii="Arial" w:eastAsia="Arial" w:hAnsi="Arial" w:cs="Arial"/>
          <w:b/>
          <w:sz w:val="24"/>
          <w:szCs w:val="24"/>
        </w:rPr>
        <w:t>.</w:t>
      </w:r>
    </w:p>
    <w:p w14:paraId="103A77DC" w14:textId="23811CAA" w:rsidR="003D5006" w:rsidRPr="003D5006" w:rsidRDefault="003D5006">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r>
        <w:rPr>
          <w:rFonts w:ascii="Arial" w:eastAsia="Arial" w:hAnsi="Arial" w:cs="Arial"/>
          <w:bCs/>
          <w:sz w:val="24"/>
          <w:szCs w:val="24"/>
        </w:rPr>
        <w:t>10:</w:t>
      </w:r>
      <w:r>
        <w:rPr>
          <w:rFonts w:ascii="Arial" w:eastAsia="Arial" w:hAnsi="Arial" w:cs="Arial"/>
          <w:bCs/>
          <w:sz w:val="24"/>
          <w:szCs w:val="24"/>
        </w:rPr>
        <w:tab/>
        <w:t xml:space="preserve">Belinda Breidenbach - </w:t>
      </w:r>
      <w:r>
        <w:rPr>
          <w:rFonts w:ascii="Arial" w:eastAsia="Arial" w:hAnsi="Arial" w:cs="Arial"/>
          <w:b/>
          <w:sz w:val="24"/>
          <w:szCs w:val="24"/>
        </w:rPr>
        <w:t>ID</w:t>
      </w:r>
    </w:p>
    <w:p w14:paraId="66651B13" w14:textId="76A55E5E" w:rsidR="00261D97" w:rsidRDefault="00B41459">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r>
        <w:rPr>
          <w:rFonts w:ascii="Arial" w:eastAsia="Arial" w:hAnsi="Arial" w:cs="Arial"/>
          <w:bCs/>
          <w:sz w:val="24"/>
          <w:szCs w:val="24"/>
        </w:rPr>
        <w:t>EPA: Rhonda Wright OAQPS, Chris Werner</w:t>
      </w:r>
    </w:p>
    <w:p w14:paraId="41337DED" w14:textId="7003F940" w:rsidR="008626B5" w:rsidRDefault="008626B5">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Cs/>
          <w:sz w:val="24"/>
          <w:szCs w:val="24"/>
        </w:rPr>
      </w:pPr>
      <w:r>
        <w:rPr>
          <w:rFonts w:ascii="Arial" w:eastAsia="Arial" w:hAnsi="Arial" w:cs="Arial"/>
          <w:bCs/>
          <w:sz w:val="24"/>
          <w:szCs w:val="24"/>
        </w:rPr>
        <w:t xml:space="preserve">Speaker: </w:t>
      </w:r>
      <w:r w:rsidR="005446F3">
        <w:rPr>
          <w:rFonts w:ascii="Arial" w:hAnsi="Arial" w:cs="Arial"/>
          <w:sz w:val="24"/>
          <w:szCs w:val="24"/>
        </w:rPr>
        <w:t>Bob Lingard - EPA OAQPS, Lisa Thompson – EPA OAQPS, and Melanie King – EPA OAPQS</w:t>
      </w:r>
    </w:p>
    <w:p w14:paraId="40C4C0CB" w14:textId="77777777" w:rsidR="00C76CEF" w:rsidRDefault="00C76CEF" w:rsidP="006B443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jc w:val="center"/>
        <w:rPr>
          <w:rFonts w:ascii="Arial" w:eastAsia="Arial" w:hAnsi="Arial" w:cs="Arial"/>
          <w:b/>
          <w:color w:val="000000"/>
          <w:sz w:val="24"/>
          <w:szCs w:val="24"/>
        </w:rPr>
      </w:pPr>
    </w:p>
    <w:tbl>
      <w:tblPr>
        <w:tblW w:w="1045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455"/>
      </w:tblGrid>
      <w:tr w:rsidR="005446F3" w14:paraId="7EA1B593" w14:textId="77777777" w:rsidTr="00097DCD">
        <w:trPr>
          <w:trHeight w:val="792"/>
        </w:trPr>
        <w:tc>
          <w:tcPr>
            <w:tcW w:w="10455" w:type="dxa"/>
            <w:tcBorders>
              <w:top w:val="single" w:sz="6" w:space="0" w:color="auto"/>
              <w:left w:val="single" w:sz="6" w:space="0" w:color="auto"/>
              <w:bottom w:val="single" w:sz="6" w:space="0" w:color="auto"/>
              <w:right w:val="single" w:sz="6" w:space="0" w:color="auto"/>
            </w:tcBorders>
          </w:tcPr>
          <w:p w14:paraId="31ACC4BB" w14:textId="77777777" w:rsidR="005446F3" w:rsidRDefault="005446F3" w:rsidP="005446F3">
            <w:pPr>
              <w:pStyle w:val="Standard1"/>
              <w:spacing w:before="0" w:after="0"/>
              <w:rPr>
                <w:rFonts w:ascii="Arial" w:hAnsi="Arial" w:cs="Arial"/>
                <w:b/>
                <w:bCs/>
                <w:szCs w:val="28"/>
              </w:rPr>
            </w:pPr>
          </w:p>
          <w:p w14:paraId="4C04126C" w14:textId="77777777" w:rsidR="005446F3" w:rsidRDefault="005446F3" w:rsidP="005446F3">
            <w:pPr>
              <w:pStyle w:val="Standard1"/>
              <w:spacing w:before="0" w:after="0"/>
              <w:rPr>
                <w:rFonts w:ascii="Arial" w:hAnsi="Arial" w:cs="Arial"/>
                <w:b/>
                <w:bCs/>
                <w:sz w:val="24"/>
                <w:szCs w:val="24"/>
              </w:rPr>
            </w:pPr>
          </w:p>
          <w:p w14:paraId="5343A6EE" w14:textId="77777777" w:rsidR="005446F3" w:rsidRDefault="005446F3" w:rsidP="005446F3">
            <w:pPr>
              <w:pStyle w:val="Standard1"/>
              <w:spacing w:before="0" w:after="0"/>
              <w:rPr>
                <w:rFonts w:ascii="Arial" w:hAnsi="Arial" w:cs="Arial"/>
                <w:b/>
                <w:bCs/>
                <w:sz w:val="28"/>
                <w:szCs w:val="28"/>
              </w:rPr>
            </w:pPr>
            <w:r>
              <w:rPr>
                <w:rFonts w:ascii="Arial" w:hAnsi="Arial" w:cs="Arial"/>
                <w:b/>
                <w:bCs/>
                <w:sz w:val="24"/>
                <w:szCs w:val="28"/>
              </w:rPr>
              <w:t xml:space="preserve">Tech-Subcommittee: </w:t>
            </w:r>
            <w:hyperlink r:id="rId5" w:history="1">
              <w:r>
                <w:rPr>
                  <w:rStyle w:val="Hyperlink"/>
                  <w:rFonts w:ascii="Arial" w:hAnsi="Arial" w:cs="Arial"/>
                  <w:bCs/>
                  <w:sz w:val="24"/>
                  <w:szCs w:val="24"/>
                </w:rPr>
                <w:t>https://nationalsbeap.org/sbeap/resources/subcommittees/technical</w:t>
              </w:r>
            </w:hyperlink>
            <w:r>
              <w:rPr>
                <w:rFonts w:ascii="Arial" w:hAnsi="Arial" w:cs="Arial"/>
                <w:b/>
                <w:bCs/>
                <w:sz w:val="28"/>
                <w:szCs w:val="28"/>
              </w:rPr>
              <w:t xml:space="preserve"> </w:t>
            </w:r>
          </w:p>
          <w:p w14:paraId="6567CF4D" w14:textId="77777777" w:rsidR="005446F3" w:rsidRDefault="005446F3" w:rsidP="005446F3">
            <w:pPr>
              <w:pStyle w:val="Standard1"/>
              <w:spacing w:before="0" w:after="0"/>
              <w:rPr>
                <w:rFonts w:ascii="Arial" w:hAnsi="Arial" w:cs="Arial"/>
                <w:b/>
                <w:bCs/>
                <w:sz w:val="28"/>
                <w:szCs w:val="28"/>
              </w:rPr>
            </w:pPr>
          </w:p>
          <w:p w14:paraId="5A88AAD1" w14:textId="77777777" w:rsidR="005446F3" w:rsidRDefault="005446F3" w:rsidP="005446F3">
            <w:pPr>
              <w:jc w:val="center"/>
              <w:rPr>
                <w:rFonts w:ascii="Arial" w:hAnsi="Arial" w:cs="Arial"/>
                <w:b/>
                <w:bCs/>
                <w:sz w:val="28"/>
                <w:szCs w:val="28"/>
              </w:rPr>
            </w:pPr>
            <w:r>
              <w:rPr>
                <w:rFonts w:ascii="Arial" w:hAnsi="Arial" w:cs="Arial"/>
                <w:b/>
                <w:bCs/>
                <w:sz w:val="28"/>
                <w:szCs w:val="28"/>
              </w:rPr>
              <w:t>Determinations of Attainment by the Attainment Date Rules for 2008/2015 Ozone Nonattainment Areas</w:t>
            </w:r>
          </w:p>
          <w:p w14:paraId="480DF8B4" w14:textId="77777777" w:rsidR="005446F3" w:rsidRDefault="005446F3" w:rsidP="005446F3">
            <w:pPr>
              <w:jc w:val="center"/>
              <w:rPr>
                <w:rFonts w:ascii="Arial" w:hAnsi="Arial" w:cs="Arial"/>
                <w:b/>
                <w:bCs/>
                <w:sz w:val="28"/>
                <w:szCs w:val="28"/>
              </w:rPr>
            </w:pPr>
            <w:r>
              <w:rPr>
                <w:rFonts w:ascii="Arial" w:hAnsi="Arial" w:cs="Arial"/>
                <w:b/>
                <w:bCs/>
                <w:sz w:val="28"/>
                <w:szCs w:val="28"/>
              </w:rPr>
              <w:t>(20 - 25 minutes)</w:t>
            </w:r>
          </w:p>
          <w:p w14:paraId="5B0AF6FE" w14:textId="77777777" w:rsidR="005446F3" w:rsidRDefault="005446F3" w:rsidP="005446F3">
            <w:pPr>
              <w:jc w:val="center"/>
              <w:rPr>
                <w:rFonts w:ascii="Arial" w:hAnsi="Arial" w:cs="Arial"/>
                <w:sz w:val="20"/>
                <w:szCs w:val="20"/>
              </w:rPr>
            </w:pPr>
            <w:r>
              <w:rPr>
                <w:rFonts w:ascii="Arial" w:hAnsi="Arial" w:cs="Arial"/>
                <w:sz w:val="20"/>
                <w:szCs w:val="20"/>
              </w:rPr>
              <w:t>Bob Lingard, EPA Office of Air Quality Planning &amp; Standards (OAQPS)</w:t>
            </w:r>
          </w:p>
          <w:p w14:paraId="4EB253CD" w14:textId="77777777" w:rsidR="005446F3" w:rsidRDefault="005446F3" w:rsidP="005446F3">
            <w:pPr>
              <w:pStyle w:val="Standard1"/>
              <w:spacing w:before="0" w:after="0"/>
              <w:jc w:val="center"/>
              <w:rPr>
                <w:rFonts w:ascii="Arial" w:hAnsi="Arial" w:cs="Arial"/>
                <w:b/>
                <w:bCs/>
                <w:sz w:val="24"/>
                <w:szCs w:val="24"/>
              </w:rPr>
            </w:pPr>
          </w:p>
          <w:p w14:paraId="2A45BE09" w14:textId="77777777" w:rsidR="005446F3" w:rsidRDefault="005446F3" w:rsidP="005446F3">
            <w:pPr>
              <w:ind w:left="144"/>
              <w:rPr>
                <w:rFonts w:ascii="Arial" w:hAnsi="Arial" w:cs="Arial"/>
                <w:sz w:val="24"/>
                <w:szCs w:val="24"/>
              </w:rPr>
            </w:pPr>
            <w:r>
              <w:rPr>
                <w:rFonts w:ascii="Arial" w:hAnsi="Arial" w:cs="Arial"/>
              </w:rPr>
              <w:t>Bob will be providing an update on the current EPA Determination of Attainment by the Attainment Date rulemakings for areas classified as Serious for the 2008 ozone NAAQS (National Ambient Air Quality Standards) and areas classified as Marginal for the 2015 ozone NAAQS</w:t>
            </w:r>
          </w:p>
          <w:p w14:paraId="76672BCC" w14:textId="076B073C" w:rsidR="005446F3" w:rsidRPr="00E921D6" w:rsidRDefault="00E921D6" w:rsidP="005446F3">
            <w:pPr>
              <w:ind w:left="144"/>
              <w:rPr>
                <w:rFonts w:ascii="Arial" w:hAnsi="Arial" w:cs="Arial"/>
                <w:b/>
                <w:bCs/>
                <w:color w:val="FF0000"/>
              </w:rPr>
            </w:pPr>
            <w:r w:rsidRPr="00E921D6">
              <w:rPr>
                <w:rFonts w:ascii="Arial" w:hAnsi="Arial" w:cs="Arial"/>
                <w:b/>
                <w:bCs/>
                <w:color w:val="FF0000"/>
              </w:rPr>
              <w:t>**Notes**</w:t>
            </w:r>
          </w:p>
          <w:p w14:paraId="30012E7D" w14:textId="505C8185" w:rsidR="00E921D6" w:rsidRDefault="00E921D6" w:rsidP="005446F3">
            <w:pPr>
              <w:ind w:left="144"/>
              <w:rPr>
                <w:rFonts w:ascii="Arial" w:hAnsi="Arial" w:cs="Arial"/>
                <w:color w:val="FF0000"/>
              </w:rPr>
            </w:pPr>
            <w:r>
              <w:rPr>
                <w:rFonts w:ascii="Arial" w:hAnsi="Arial" w:cs="Arial"/>
                <w:color w:val="FF0000"/>
              </w:rPr>
              <w:t>This presentation was recorded. Also, the talking points with resources that Bob was using have been included with the minutes as a separate attachment.</w:t>
            </w:r>
          </w:p>
          <w:p w14:paraId="07E1BAE3" w14:textId="6820AFF3" w:rsidR="008B6B93" w:rsidRDefault="008B6B93" w:rsidP="005446F3">
            <w:pPr>
              <w:ind w:left="144"/>
              <w:rPr>
                <w:rFonts w:ascii="Arial" w:hAnsi="Arial" w:cs="Arial"/>
                <w:color w:val="FF0000"/>
              </w:rPr>
            </w:pPr>
            <w:r w:rsidRPr="008B6B93">
              <w:rPr>
                <w:rFonts w:ascii="Arial" w:hAnsi="Arial" w:cs="Arial"/>
                <w:color w:val="FF0000"/>
              </w:rPr>
              <w:t>This was a question for Bob Lingard</w:t>
            </w:r>
            <w:r>
              <w:rPr>
                <w:rFonts w:ascii="Arial" w:hAnsi="Arial" w:cs="Arial"/>
                <w:color w:val="FF0000"/>
              </w:rPr>
              <w:t xml:space="preserve"> that was emailed to him following the call:</w:t>
            </w:r>
            <w:r w:rsidRPr="008B6B93">
              <w:rPr>
                <w:rFonts w:ascii="Arial" w:hAnsi="Arial" w:cs="Arial"/>
                <w:color w:val="FF0000"/>
              </w:rPr>
              <w:t xml:space="preserve"> </w:t>
            </w:r>
            <w:r w:rsidRPr="008B6B93">
              <w:rPr>
                <w:rFonts w:ascii="Arial" w:hAnsi="Arial" w:cs="Arial"/>
                <w:color w:val="FF0000"/>
              </w:rPr>
              <w:t>I believe he mentioned that areas in non-attainment for ozone pay a penalty. Where does the penalty go?</w:t>
            </w:r>
          </w:p>
          <w:p w14:paraId="2F85895A" w14:textId="77777777" w:rsidR="008B6B93" w:rsidRPr="008B6B93" w:rsidRDefault="008B6B93" w:rsidP="008B6B93">
            <w:pPr>
              <w:ind w:left="720"/>
              <w:rPr>
                <w:color w:val="FF0000"/>
              </w:rPr>
            </w:pPr>
            <w:r w:rsidRPr="008B6B93">
              <w:rPr>
                <w:color w:val="FF0000"/>
              </w:rPr>
              <w:t xml:space="preserve">The Clean Air Act does not specify how states may spend or allocate the fees collected under a section 185 penalty fee program. Therefore, states have discretion on how to use the fees. The EPA believes that one beneficial approach would be to channel the fees into innovative programs to provide incentives for </w:t>
            </w:r>
            <w:r w:rsidRPr="008B6B93">
              <w:rPr>
                <w:color w:val="FF0000"/>
              </w:rPr>
              <w:lastRenderedPageBreak/>
              <w:t>additional ozone precursor emissions reductions from stationary or mobile sources, or for other purposes aimed at reducing ambient ozone concentrations in the affected area. The section 185 fee program requirement apples to areas classified Severe or Extreme, and would not be triggered unless EPA determines an area fails to attain by its applicable attainment date (for 2008 ozone Severe areas the attainment date is July 20, 2027).</w:t>
            </w:r>
          </w:p>
          <w:p w14:paraId="6F0816EF" w14:textId="77777777" w:rsidR="005446F3" w:rsidRDefault="005446F3" w:rsidP="005446F3">
            <w:pPr>
              <w:ind w:left="144"/>
              <w:jc w:val="center"/>
              <w:rPr>
                <w:rFonts w:ascii="Arial" w:hAnsi="Arial" w:cs="Arial"/>
                <w:b/>
                <w:bCs/>
                <w:sz w:val="28"/>
                <w:szCs w:val="28"/>
              </w:rPr>
            </w:pPr>
            <w:r>
              <w:rPr>
                <w:rFonts w:ascii="Arial" w:hAnsi="Arial" w:cs="Arial"/>
                <w:b/>
                <w:bCs/>
                <w:sz w:val="28"/>
                <w:szCs w:val="28"/>
              </w:rPr>
              <w:t xml:space="preserve">Update on the progress of the Oil and Natural Gas Methane Rule </w:t>
            </w:r>
          </w:p>
          <w:p w14:paraId="2464C956" w14:textId="77777777" w:rsidR="005446F3" w:rsidRDefault="005446F3" w:rsidP="005446F3">
            <w:pPr>
              <w:ind w:left="144"/>
              <w:jc w:val="center"/>
              <w:rPr>
                <w:rFonts w:ascii="Arial" w:hAnsi="Arial" w:cs="Arial"/>
                <w:b/>
                <w:bCs/>
                <w:sz w:val="28"/>
                <w:szCs w:val="28"/>
              </w:rPr>
            </w:pPr>
            <w:r>
              <w:rPr>
                <w:rFonts w:ascii="Arial" w:hAnsi="Arial" w:cs="Arial"/>
                <w:b/>
                <w:bCs/>
                <w:sz w:val="28"/>
                <w:szCs w:val="28"/>
              </w:rPr>
              <w:t>(5 – 10 minutes)</w:t>
            </w:r>
          </w:p>
          <w:p w14:paraId="498C9B1E" w14:textId="77777777" w:rsidR="005446F3" w:rsidRDefault="005446F3" w:rsidP="005446F3">
            <w:pPr>
              <w:ind w:left="144"/>
              <w:jc w:val="center"/>
              <w:rPr>
                <w:rFonts w:ascii="Arial" w:hAnsi="Arial" w:cs="Arial"/>
                <w:sz w:val="20"/>
                <w:szCs w:val="20"/>
              </w:rPr>
            </w:pPr>
            <w:r>
              <w:rPr>
                <w:rFonts w:ascii="Arial" w:hAnsi="Arial" w:cs="Arial"/>
                <w:sz w:val="20"/>
                <w:szCs w:val="20"/>
              </w:rPr>
              <w:t>Lisa Thompson, EPA OAQPS</w:t>
            </w:r>
          </w:p>
          <w:p w14:paraId="38465938" w14:textId="77777777" w:rsidR="005446F3" w:rsidRDefault="005446F3" w:rsidP="005446F3">
            <w:pPr>
              <w:ind w:left="144"/>
              <w:rPr>
                <w:rFonts w:ascii="Arial" w:hAnsi="Arial" w:cs="Arial"/>
              </w:rPr>
            </w:pPr>
            <w:r>
              <w:rPr>
                <w:rFonts w:ascii="Arial" w:hAnsi="Arial" w:cs="Arial"/>
              </w:rPr>
              <w:t>Lisa will be providing a general update on the progress of the Oil and Natural Gas Methane Rule and the Small Business Advocacy Review Panel.</w:t>
            </w:r>
          </w:p>
          <w:p w14:paraId="1CBFBCF8" w14:textId="3BBF7949" w:rsidR="005446F3" w:rsidRDefault="00E921D6" w:rsidP="005446F3">
            <w:pPr>
              <w:ind w:left="144"/>
              <w:rPr>
                <w:rFonts w:ascii="Arial" w:hAnsi="Arial" w:cs="Arial"/>
                <w:color w:val="FF0000"/>
              </w:rPr>
            </w:pPr>
            <w:r>
              <w:rPr>
                <w:rFonts w:ascii="Arial" w:hAnsi="Arial" w:cs="Arial"/>
                <w:color w:val="FF0000"/>
              </w:rPr>
              <w:t>**</w:t>
            </w:r>
            <w:r>
              <w:rPr>
                <w:rFonts w:ascii="Arial" w:hAnsi="Arial" w:cs="Arial"/>
                <w:b/>
                <w:bCs/>
                <w:color w:val="FF0000"/>
              </w:rPr>
              <w:t>Notes**</w:t>
            </w:r>
          </w:p>
          <w:p w14:paraId="2BA2180E" w14:textId="77777777" w:rsidR="00E921D6" w:rsidRDefault="00E921D6" w:rsidP="00E921D6">
            <w:pPr>
              <w:shd w:val="clear" w:color="auto" w:fill="FFFFFF"/>
              <w:rPr>
                <w:rFonts w:ascii="inherit" w:hAnsi="inherit" w:cs="Segoe UI Historic"/>
                <w:color w:val="050505"/>
                <w:sz w:val="23"/>
                <w:szCs w:val="23"/>
              </w:rPr>
            </w:pPr>
            <w:r>
              <w:rPr>
                <w:rFonts w:ascii="Arial" w:hAnsi="Arial" w:cs="Arial"/>
                <w:color w:val="FF0000"/>
              </w:rPr>
              <w:t xml:space="preserve">EPA has held at least three meetings of the SBREFA panel that was formed in relation to this rule. They have also been doing extensive outreach via listening sessions and other workshops. Next week is a workshop on Innovations to control methane from oil and gas production. Here is the information on that meeting: </w:t>
            </w:r>
            <w:r>
              <w:rPr>
                <w:rFonts w:ascii="inherit" w:hAnsi="inherit" w:cs="Segoe UI Historic"/>
                <w:color w:val="050505"/>
                <w:sz w:val="23"/>
                <w:szCs w:val="23"/>
              </w:rPr>
              <w:t>Methane Detection Technology Virtual Workshop: Abstracts Deadline Extended</w:t>
            </w:r>
          </w:p>
          <w:p w14:paraId="0481A84E" w14:textId="77777777" w:rsidR="00E921D6" w:rsidRDefault="00E921D6" w:rsidP="00E921D6">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The U.S. Environmental Protection Agency (EPA) is extending its abstracts deadline for the upcoming Methane Detection Technology Virtual Workshop, to be held August 23 and 24, 2021 in response to a number of requests. The new abstracts deadline is Friday, July 23, 2021. </w:t>
            </w:r>
          </w:p>
          <w:p w14:paraId="7D227C4B" w14:textId="77777777" w:rsidR="00E921D6" w:rsidRDefault="00E921D6" w:rsidP="00E921D6">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The workshop will focus on methane-sensing technologies that are not currently approved for use in EPA’s New Source Performance Standards for the oil and natural gas industry, and how those applications could be applied in the oil and gas sector. </w:t>
            </w:r>
          </w:p>
          <w:p w14:paraId="2F073FC9" w14:textId="77777777" w:rsidR="00E921D6" w:rsidRDefault="00E921D6" w:rsidP="00E921D6">
            <w:pPr>
              <w:shd w:val="clear" w:color="auto" w:fill="FFFFFF"/>
              <w:rPr>
                <w:rFonts w:ascii="inherit" w:hAnsi="inherit" w:cs="Segoe UI Historic"/>
                <w:color w:val="050505"/>
                <w:sz w:val="23"/>
                <w:szCs w:val="23"/>
              </w:rPr>
            </w:pPr>
            <w:r>
              <w:rPr>
                <w:rFonts w:ascii="inherit" w:hAnsi="inherit" w:cs="Segoe UI Historic"/>
                <w:color w:val="050505"/>
                <w:sz w:val="23"/>
                <w:szCs w:val="23"/>
              </w:rPr>
              <w:t xml:space="preserve">For more information and/or to submit an abstract to present at the workshop, or to register to attend, visit: </w:t>
            </w:r>
            <w:hyperlink r:id="rId6" w:tgtFrame="_blank" w:history="1">
              <w:r>
                <w:rPr>
                  <w:rStyle w:val="Hyperlink"/>
                  <w:rFonts w:ascii="inherit" w:hAnsi="inherit" w:cs="Segoe UI Historic"/>
                  <w:sz w:val="23"/>
                  <w:szCs w:val="23"/>
                  <w:bdr w:val="none" w:sz="0" w:space="0" w:color="auto" w:frame="1"/>
                </w:rPr>
                <w:t>https://www.epa.gov/.../epa-methane-detection-technology...</w:t>
              </w:r>
            </w:hyperlink>
            <w:r>
              <w:rPr>
                <w:rFonts w:ascii="inherit" w:hAnsi="inherit" w:cs="Segoe UI Historic"/>
                <w:color w:val="050505"/>
                <w:sz w:val="23"/>
                <w:szCs w:val="23"/>
              </w:rPr>
              <w:t>. Registration Deadline - August 18, 2021</w:t>
            </w:r>
          </w:p>
          <w:p w14:paraId="3B9CCA86" w14:textId="3DF8F71A" w:rsidR="00E921D6" w:rsidRPr="00E921D6" w:rsidRDefault="00E921D6" w:rsidP="005446F3">
            <w:pPr>
              <w:ind w:left="144"/>
              <w:rPr>
                <w:rFonts w:ascii="Arial" w:hAnsi="Arial" w:cs="Arial"/>
                <w:color w:val="FF0000"/>
              </w:rPr>
            </w:pPr>
            <w:r>
              <w:rPr>
                <w:rFonts w:ascii="Arial" w:hAnsi="Arial" w:cs="Arial"/>
                <w:color w:val="FF0000"/>
              </w:rPr>
              <w:t>The workshop will also be livestreamed via YouTube for those that want to attend, but not actively participate. In general, the response from small businesses is to seek general exemption from the proposed changes. They also feel that some of the definitions, such as how frakking is used, is too broad. There has also been some confusion due to variations of information from other sources. In general, most small businesses feel that wells under 15 barrels/day should be exempt. There are also provisions in the rule for once equipment is removed and the well is simply in production that there should only be recordkeeping and reporting requirements.</w:t>
            </w:r>
          </w:p>
          <w:p w14:paraId="02C1272D" w14:textId="77777777" w:rsidR="005446F3" w:rsidRDefault="005446F3" w:rsidP="005446F3">
            <w:pPr>
              <w:ind w:left="144"/>
              <w:jc w:val="center"/>
              <w:rPr>
                <w:rFonts w:ascii="Arial" w:hAnsi="Arial" w:cs="Arial"/>
                <w:b/>
                <w:bCs/>
                <w:sz w:val="28"/>
                <w:szCs w:val="28"/>
              </w:rPr>
            </w:pPr>
            <w:r>
              <w:rPr>
                <w:rFonts w:ascii="Arial" w:hAnsi="Arial" w:cs="Arial"/>
                <w:b/>
                <w:bCs/>
                <w:sz w:val="28"/>
                <w:szCs w:val="28"/>
              </w:rPr>
              <w:t xml:space="preserve">Proposed amendments to 40 CFR 63 Subpart ZZZZ and 40 CFR 60 Subparts IIII and JJJJ – Stationary Engines </w:t>
            </w:r>
          </w:p>
          <w:p w14:paraId="47089BD9" w14:textId="77777777" w:rsidR="005446F3" w:rsidRDefault="005446F3" w:rsidP="005446F3">
            <w:pPr>
              <w:ind w:left="144"/>
              <w:jc w:val="center"/>
              <w:rPr>
                <w:rFonts w:ascii="Arial" w:hAnsi="Arial" w:cs="Arial"/>
                <w:b/>
                <w:bCs/>
                <w:sz w:val="28"/>
                <w:szCs w:val="28"/>
              </w:rPr>
            </w:pPr>
            <w:r>
              <w:rPr>
                <w:rFonts w:ascii="Arial" w:hAnsi="Arial" w:cs="Arial"/>
                <w:b/>
                <w:bCs/>
                <w:sz w:val="28"/>
                <w:szCs w:val="28"/>
              </w:rPr>
              <w:lastRenderedPageBreak/>
              <w:t>(5 - 10 minutes)</w:t>
            </w:r>
          </w:p>
          <w:p w14:paraId="304FBE02" w14:textId="77777777" w:rsidR="005446F3" w:rsidRDefault="005446F3" w:rsidP="005446F3">
            <w:pPr>
              <w:ind w:left="144"/>
              <w:jc w:val="center"/>
              <w:rPr>
                <w:rFonts w:ascii="Arial" w:hAnsi="Arial" w:cs="Arial"/>
                <w:sz w:val="20"/>
                <w:szCs w:val="20"/>
              </w:rPr>
            </w:pPr>
            <w:r>
              <w:rPr>
                <w:rFonts w:ascii="Arial" w:hAnsi="Arial" w:cs="Arial"/>
                <w:sz w:val="20"/>
                <w:szCs w:val="20"/>
              </w:rPr>
              <w:t>Melanie King, EPA OAQPS</w:t>
            </w:r>
          </w:p>
          <w:p w14:paraId="72588961" w14:textId="77777777" w:rsidR="005446F3" w:rsidRDefault="005446F3" w:rsidP="005446F3">
            <w:pPr>
              <w:ind w:left="144"/>
              <w:rPr>
                <w:rFonts w:ascii="Arial" w:hAnsi="Arial" w:cs="Arial"/>
              </w:rPr>
            </w:pPr>
            <w:r>
              <w:rPr>
                <w:rFonts w:ascii="Arial" w:hAnsi="Arial" w:cs="Arial"/>
              </w:rPr>
              <w:t>Melanie will be providing a general overview of a proposal to amend the National Emission Standards for Hazardous Air Pollutants (NESHAP) for Reciprocating Internal Combustion Engines (</w:t>
            </w:r>
            <w:r>
              <w:rPr>
                <w:rFonts w:ascii="Arial" w:hAnsi="Arial" w:cs="Arial"/>
                <w:b/>
                <w:bCs/>
              </w:rPr>
              <w:t>RICE</w:t>
            </w:r>
            <w:r>
              <w:rPr>
                <w:rFonts w:ascii="Arial" w:hAnsi="Arial" w:cs="Arial"/>
              </w:rPr>
              <w:t>) (</w:t>
            </w:r>
            <w:r>
              <w:rPr>
                <w:rFonts w:ascii="Arial" w:hAnsi="Arial" w:cs="Arial"/>
                <w:b/>
                <w:bCs/>
              </w:rPr>
              <w:t>40 CFR Part 63 Subpart ZZZZ</w:t>
            </w:r>
            <w:r>
              <w:rPr>
                <w:rFonts w:ascii="Arial" w:hAnsi="Arial" w:cs="Arial"/>
              </w:rPr>
              <w:t xml:space="preserve">), the New Source Performance Standards (NSPS) for Stationary </w:t>
            </w:r>
            <w:r>
              <w:rPr>
                <w:rFonts w:ascii="Arial" w:hAnsi="Arial" w:cs="Arial"/>
                <w:b/>
                <w:bCs/>
              </w:rPr>
              <w:t>Compression Ignition</w:t>
            </w:r>
            <w:r>
              <w:rPr>
                <w:rFonts w:ascii="Arial" w:hAnsi="Arial" w:cs="Arial"/>
              </w:rPr>
              <w:t xml:space="preserve"> Internal Combustion Engines (</w:t>
            </w:r>
            <w:r>
              <w:rPr>
                <w:rFonts w:ascii="Arial" w:hAnsi="Arial" w:cs="Arial"/>
                <w:b/>
                <w:bCs/>
              </w:rPr>
              <w:t>40 CFR Part 60 Subpart IIII</w:t>
            </w:r>
            <w:r>
              <w:rPr>
                <w:rFonts w:ascii="Arial" w:hAnsi="Arial" w:cs="Arial"/>
              </w:rPr>
              <w:t xml:space="preserve">), and the NSPS for Stationary </w:t>
            </w:r>
            <w:r>
              <w:rPr>
                <w:rFonts w:ascii="Arial" w:hAnsi="Arial" w:cs="Arial"/>
                <w:b/>
                <w:bCs/>
              </w:rPr>
              <w:t>Spark Ignition</w:t>
            </w:r>
            <w:r>
              <w:rPr>
                <w:rFonts w:ascii="Arial" w:hAnsi="Arial" w:cs="Arial"/>
              </w:rPr>
              <w:t xml:space="preserve"> Internal Combustion Engines (</w:t>
            </w:r>
            <w:r>
              <w:rPr>
                <w:rFonts w:ascii="Arial" w:hAnsi="Arial" w:cs="Arial"/>
                <w:b/>
                <w:bCs/>
              </w:rPr>
              <w:t>40 CFR Part 60 Subpart JJJJ</w:t>
            </w:r>
            <w:r>
              <w:rPr>
                <w:rFonts w:ascii="Arial" w:hAnsi="Arial" w:cs="Arial"/>
              </w:rPr>
              <w:t xml:space="preserve">) to add electronic reporting provisions. </w:t>
            </w:r>
          </w:p>
          <w:p w14:paraId="6542A0A0" w14:textId="77777777" w:rsidR="005446F3" w:rsidRDefault="005446F3" w:rsidP="005446F3">
            <w:pPr>
              <w:ind w:left="144"/>
              <w:rPr>
                <w:rFonts w:ascii="Arial" w:hAnsi="Arial" w:cs="Arial"/>
              </w:rPr>
            </w:pPr>
            <w:r>
              <w:rPr>
                <w:rFonts w:ascii="Arial" w:hAnsi="Arial" w:cs="Arial"/>
              </w:rPr>
              <w:t>While EPA has been adding electronic reporting to stationary source rules for some time and many businesses have become familiar with them through usage, small business owners with engines who have yet to work with EPA may require some time to gain familiarity with electronic reporting.</w:t>
            </w:r>
          </w:p>
          <w:p w14:paraId="023FA64B" w14:textId="1DB3E220" w:rsidR="005446F3" w:rsidRDefault="00E921D6" w:rsidP="005446F3">
            <w:pPr>
              <w:ind w:left="144"/>
              <w:rPr>
                <w:rFonts w:ascii="Arial" w:hAnsi="Arial" w:cs="Arial"/>
                <w:color w:val="FF0000"/>
              </w:rPr>
            </w:pPr>
            <w:r>
              <w:rPr>
                <w:rFonts w:ascii="Arial" w:hAnsi="Arial" w:cs="Arial"/>
                <w:b/>
                <w:bCs/>
                <w:color w:val="FF0000"/>
              </w:rPr>
              <w:t>**Notes**</w:t>
            </w:r>
          </w:p>
          <w:p w14:paraId="18F6B055" w14:textId="7A40773A" w:rsidR="00E921D6" w:rsidRPr="00E921D6" w:rsidRDefault="00E921D6" w:rsidP="005446F3">
            <w:pPr>
              <w:ind w:left="144"/>
              <w:rPr>
                <w:rFonts w:ascii="Arial" w:hAnsi="Arial" w:cs="Arial"/>
                <w:color w:val="FF0000"/>
              </w:rPr>
            </w:pPr>
            <w:r>
              <w:rPr>
                <w:rFonts w:ascii="Arial" w:hAnsi="Arial" w:cs="Arial"/>
                <w:color w:val="FF0000"/>
              </w:rPr>
              <w:t xml:space="preserve">Melanie clarified that electronic reporting would only be required of engines that have numeric emissions limits/values as per the rule. So it would not </w:t>
            </w:r>
            <w:r w:rsidR="00B725C5">
              <w:rPr>
                <w:rFonts w:ascii="Arial" w:hAnsi="Arial" w:cs="Arial"/>
                <w:color w:val="FF0000"/>
              </w:rPr>
              <w:t xml:space="preserve">affect all engines as a requirement. </w:t>
            </w:r>
          </w:p>
          <w:p w14:paraId="5EDB301C" w14:textId="77777777" w:rsidR="005446F3" w:rsidRDefault="005446F3" w:rsidP="005446F3">
            <w:pPr>
              <w:ind w:left="144"/>
              <w:rPr>
                <w:rFonts w:ascii="Arial" w:hAnsi="Arial" w:cs="Arial"/>
                <w:b/>
                <w:bCs/>
                <w:sz w:val="28"/>
                <w:szCs w:val="28"/>
              </w:rPr>
            </w:pPr>
            <w:r>
              <w:rPr>
                <w:rFonts w:ascii="Arial" w:hAnsi="Arial" w:cs="Arial"/>
                <w:b/>
                <w:bCs/>
                <w:sz w:val="28"/>
                <w:szCs w:val="28"/>
              </w:rPr>
              <w:t>Bios:</w:t>
            </w:r>
          </w:p>
          <w:p w14:paraId="19D18A1A" w14:textId="77777777" w:rsidR="005446F3" w:rsidRDefault="005446F3" w:rsidP="005446F3">
            <w:pPr>
              <w:ind w:left="144"/>
              <w:rPr>
                <w:rFonts w:ascii="Arial" w:hAnsi="Arial" w:cs="Arial"/>
                <w:sz w:val="24"/>
                <w:szCs w:val="24"/>
              </w:rPr>
            </w:pPr>
          </w:p>
          <w:p w14:paraId="16ABCF74" w14:textId="77777777" w:rsidR="005446F3" w:rsidRDefault="005446F3" w:rsidP="005446F3">
            <w:pPr>
              <w:ind w:left="144"/>
              <w:rPr>
                <w:rFonts w:ascii="Arial" w:hAnsi="Arial" w:cs="Arial"/>
                <w:b/>
              </w:rPr>
            </w:pPr>
            <w:r>
              <w:rPr>
                <w:rFonts w:ascii="Arial" w:hAnsi="Arial" w:cs="Arial"/>
                <w:b/>
              </w:rPr>
              <w:t>Bob Lingard</w:t>
            </w:r>
          </w:p>
          <w:p w14:paraId="58425DF8" w14:textId="77777777" w:rsidR="005446F3" w:rsidRDefault="005446F3" w:rsidP="005446F3">
            <w:pPr>
              <w:ind w:left="144"/>
              <w:rPr>
                <w:rFonts w:ascii="Arial" w:hAnsi="Arial" w:cs="Arial"/>
                <w:b/>
                <w:sz w:val="20"/>
                <w:szCs w:val="20"/>
              </w:rPr>
            </w:pPr>
            <w:r>
              <w:rPr>
                <w:rFonts w:ascii="Arial" w:hAnsi="Arial" w:cs="Arial"/>
                <w:b/>
                <w:sz w:val="20"/>
                <w:szCs w:val="20"/>
              </w:rPr>
              <w:t>EPA OAQPS</w:t>
            </w:r>
          </w:p>
          <w:p w14:paraId="19C219C5" w14:textId="77777777" w:rsidR="005446F3" w:rsidRDefault="005446F3" w:rsidP="005446F3">
            <w:pPr>
              <w:ind w:left="144"/>
              <w:rPr>
                <w:rFonts w:ascii="Arial" w:hAnsi="Arial" w:cs="Arial"/>
                <w:sz w:val="24"/>
                <w:szCs w:val="24"/>
              </w:rPr>
            </w:pPr>
            <w:r>
              <w:rPr>
                <w:rFonts w:ascii="Arial" w:hAnsi="Arial" w:cs="Arial"/>
              </w:rPr>
              <w:t>Bob leads the ozone standards implementation program within the EPA Office of Air Quality Planning and Standards, having focused on ozone implementation since joining EPA in 2015.</w:t>
            </w:r>
          </w:p>
          <w:p w14:paraId="6D78EDDA" w14:textId="77777777" w:rsidR="005446F3" w:rsidRDefault="005446F3" w:rsidP="005446F3">
            <w:pPr>
              <w:ind w:left="144"/>
              <w:rPr>
                <w:rFonts w:ascii="Arial" w:hAnsi="Arial" w:cs="Arial"/>
              </w:rPr>
            </w:pPr>
          </w:p>
          <w:p w14:paraId="5349B39D" w14:textId="77777777" w:rsidR="005446F3" w:rsidRDefault="005446F3" w:rsidP="005446F3">
            <w:pPr>
              <w:ind w:left="144"/>
              <w:rPr>
                <w:rFonts w:ascii="Arial" w:hAnsi="Arial" w:cs="Arial"/>
                <w:b/>
                <w:bCs/>
              </w:rPr>
            </w:pPr>
            <w:r>
              <w:rPr>
                <w:rFonts w:ascii="Arial" w:hAnsi="Arial" w:cs="Arial"/>
                <w:b/>
                <w:bCs/>
              </w:rPr>
              <w:t>Lisa Thompson</w:t>
            </w:r>
          </w:p>
          <w:p w14:paraId="4D7C6BC5" w14:textId="77777777" w:rsidR="005446F3" w:rsidRDefault="005446F3" w:rsidP="005446F3">
            <w:pPr>
              <w:ind w:left="144"/>
              <w:rPr>
                <w:rFonts w:ascii="Arial" w:hAnsi="Arial" w:cs="Arial"/>
                <w:sz w:val="20"/>
                <w:szCs w:val="20"/>
              </w:rPr>
            </w:pPr>
            <w:r>
              <w:rPr>
                <w:rFonts w:ascii="Arial" w:hAnsi="Arial" w:cs="Arial"/>
                <w:b/>
                <w:bCs/>
                <w:sz w:val="20"/>
                <w:szCs w:val="20"/>
              </w:rPr>
              <w:t>EPA OAQPS</w:t>
            </w:r>
          </w:p>
          <w:p w14:paraId="4B9FFE10" w14:textId="77777777" w:rsidR="005446F3" w:rsidRDefault="005446F3" w:rsidP="005446F3">
            <w:pPr>
              <w:ind w:left="144"/>
              <w:rPr>
                <w:rFonts w:ascii="Arial" w:hAnsi="Arial" w:cs="Arial"/>
              </w:rPr>
            </w:pPr>
            <w:r>
              <w:rPr>
                <w:rFonts w:ascii="Arial" w:hAnsi="Arial" w:cs="Arial"/>
              </w:rPr>
              <w:t>Lisa is an Environmental Protection Specialist in the EPA’s OAPQS. She has been a rule writer for six years working on projects throughout the Oil and Natural Gas and Electric Generation sectors. Prior to EPA, Lisa worked at the Department of Defense, managing renewable energy, energy efficiency, and smart metering programs.</w:t>
            </w:r>
          </w:p>
          <w:p w14:paraId="53E28D85" w14:textId="77777777" w:rsidR="005446F3" w:rsidRDefault="005446F3" w:rsidP="005446F3">
            <w:pPr>
              <w:ind w:left="144"/>
              <w:rPr>
                <w:rFonts w:ascii="Arial" w:hAnsi="Arial" w:cs="Arial"/>
              </w:rPr>
            </w:pPr>
          </w:p>
          <w:p w14:paraId="24D63684" w14:textId="77777777" w:rsidR="005446F3" w:rsidRDefault="005446F3" w:rsidP="005446F3">
            <w:pPr>
              <w:ind w:left="144"/>
              <w:rPr>
                <w:rFonts w:ascii="Arial" w:hAnsi="Arial" w:cs="Arial"/>
                <w:b/>
                <w:bCs/>
              </w:rPr>
            </w:pPr>
            <w:r>
              <w:rPr>
                <w:rFonts w:ascii="Arial" w:hAnsi="Arial" w:cs="Arial"/>
                <w:b/>
                <w:bCs/>
              </w:rPr>
              <w:t>Melanie King</w:t>
            </w:r>
          </w:p>
          <w:p w14:paraId="48F63527" w14:textId="77777777" w:rsidR="005446F3" w:rsidRDefault="005446F3" w:rsidP="005446F3">
            <w:pPr>
              <w:ind w:left="144"/>
              <w:rPr>
                <w:rFonts w:ascii="Arial" w:hAnsi="Arial" w:cs="Arial"/>
                <w:b/>
                <w:bCs/>
                <w:sz w:val="20"/>
                <w:szCs w:val="20"/>
              </w:rPr>
            </w:pPr>
            <w:r>
              <w:rPr>
                <w:rFonts w:ascii="Arial" w:hAnsi="Arial" w:cs="Arial"/>
                <w:b/>
                <w:bCs/>
                <w:sz w:val="20"/>
                <w:szCs w:val="20"/>
              </w:rPr>
              <w:t>EPA OAQPS</w:t>
            </w:r>
          </w:p>
          <w:p w14:paraId="50ABC5C9" w14:textId="77777777" w:rsidR="005446F3" w:rsidRDefault="005446F3" w:rsidP="005446F3">
            <w:pPr>
              <w:rPr>
                <w:rFonts w:ascii="Arial" w:hAnsi="Arial" w:cs="Arial"/>
              </w:rPr>
            </w:pPr>
            <w:r>
              <w:rPr>
                <w:rFonts w:ascii="Arial" w:hAnsi="Arial" w:cs="Arial"/>
              </w:rPr>
              <w:lastRenderedPageBreak/>
              <w:t>Melanie is an Environmental Engineer in the Energy Strategies Group at the U.S. EPA's Office of Air Quality Planning and Standards in Research Triangle Park, NC.  She is currently working on developing and implementing regulations for emissions from stationary internal combustion engines and combustion turbines.</w:t>
            </w:r>
          </w:p>
          <w:p w14:paraId="1AE281FE" w14:textId="6FF55437" w:rsidR="005446F3" w:rsidRDefault="005446F3" w:rsidP="005446F3">
            <w:pPr>
              <w:pStyle w:val="ListParagraph"/>
              <w:spacing w:after="120"/>
              <w:ind w:left="144"/>
              <w:rPr>
                <w:rFonts w:ascii="Arial" w:hAnsi="Arial" w:cs="Arial"/>
                <w:sz w:val="24"/>
                <w:szCs w:val="24"/>
              </w:rPr>
            </w:pPr>
          </w:p>
        </w:tc>
      </w:tr>
      <w:tr w:rsidR="005446F3" w14:paraId="063834BE" w14:textId="77777777" w:rsidTr="00097DCD">
        <w:trPr>
          <w:trHeight w:val="792"/>
        </w:trPr>
        <w:tc>
          <w:tcPr>
            <w:tcW w:w="10455" w:type="dxa"/>
            <w:tcBorders>
              <w:top w:val="single" w:sz="6" w:space="0" w:color="auto"/>
              <w:left w:val="single" w:sz="6" w:space="0" w:color="auto"/>
              <w:bottom w:val="single" w:sz="6" w:space="0" w:color="auto"/>
              <w:right w:val="single" w:sz="6" w:space="0" w:color="auto"/>
            </w:tcBorders>
          </w:tcPr>
          <w:p w14:paraId="68CF95C5" w14:textId="77777777" w:rsidR="005446F3" w:rsidRDefault="005446F3" w:rsidP="005446F3">
            <w:pPr>
              <w:rPr>
                <w:rFonts w:ascii="Arial" w:hAnsi="Arial" w:cs="Arial"/>
                <w:bCs/>
                <w:sz w:val="28"/>
                <w:szCs w:val="28"/>
              </w:rPr>
            </w:pPr>
            <w:r>
              <w:rPr>
                <w:rFonts w:ascii="Arial" w:hAnsi="Arial" w:cs="Arial"/>
                <w:b/>
                <w:bCs/>
                <w:sz w:val="28"/>
                <w:szCs w:val="28"/>
              </w:rPr>
              <w:lastRenderedPageBreak/>
              <w:t>Future topics:</w:t>
            </w:r>
            <w:r>
              <w:rPr>
                <w:rFonts w:ascii="Arial" w:hAnsi="Arial" w:cs="Arial"/>
                <w:bCs/>
                <w:sz w:val="28"/>
                <w:szCs w:val="28"/>
              </w:rPr>
              <w:t xml:space="preserve"> </w:t>
            </w:r>
          </w:p>
          <w:p w14:paraId="7EB19A07" w14:textId="77777777" w:rsidR="005446F3" w:rsidRDefault="005446F3" w:rsidP="005446F3">
            <w:pPr>
              <w:numPr>
                <w:ilvl w:val="0"/>
                <w:numId w:val="11"/>
              </w:numPr>
              <w:spacing w:after="0" w:line="240" w:lineRule="auto"/>
              <w:rPr>
                <w:rFonts w:ascii="Arial" w:hAnsi="Arial" w:cs="Arial"/>
                <w:sz w:val="24"/>
                <w:szCs w:val="24"/>
              </w:rPr>
            </w:pPr>
            <w:r>
              <w:rPr>
                <w:rFonts w:ascii="Arial" w:hAnsi="Arial" w:cs="Arial"/>
                <w:b/>
                <w:bCs/>
              </w:rPr>
              <w:t>September 21</w:t>
            </w:r>
            <w:r>
              <w:rPr>
                <w:rFonts w:ascii="Arial" w:hAnsi="Arial" w:cs="Arial"/>
              </w:rPr>
              <w:t>: Industrial Storm Water Permitting Basics, Ryan Grant, Michigan EGLE</w:t>
            </w:r>
          </w:p>
          <w:p w14:paraId="7E6EFB38" w14:textId="77777777" w:rsidR="005446F3" w:rsidRDefault="005446F3" w:rsidP="005446F3">
            <w:pPr>
              <w:numPr>
                <w:ilvl w:val="0"/>
                <w:numId w:val="11"/>
              </w:numPr>
              <w:spacing w:after="0" w:line="240" w:lineRule="auto"/>
              <w:rPr>
                <w:rFonts w:ascii="Arial" w:hAnsi="Arial" w:cs="Arial"/>
              </w:rPr>
            </w:pPr>
            <w:r>
              <w:rPr>
                <w:rFonts w:ascii="Arial" w:hAnsi="Arial" w:cs="Arial"/>
                <w:b/>
                <w:bCs/>
              </w:rPr>
              <w:t>October 19</w:t>
            </w:r>
            <w:r>
              <w:rPr>
                <w:rFonts w:ascii="Arial" w:hAnsi="Arial" w:cs="Arial"/>
              </w:rPr>
              <w:t>: Paint tracker program, Jennifer Wittenburg, Iowa Waste Reduction Center</w:t>
            </w:r>
          </w:p>
          <w:p w14:paraId="02A89D24" w14:textId="77777777" w:rsidR="005446F3" w:rsidRDefault="005446F3" w:rsidP="005446F3">
            <w:pPr>
              <w:numPr>
                <w:ilvl w:val="0"/>
                <w:numId w:val="11"/>
              </w:numPr>
              <w:spacing w:after="0" w:line="240" w:lineRule="auto"/>
              <w:rPr>
                <w:rFonts w:ascii="Arial" w:hAnsi="Arial" w:cs="Arial"/>
              </w:rPr>
            </w:pPr>
            <w:r>
              <w:rPr>
                <w:rFonts w:ascii="Arial" w:hAnsi="Arial" w:cs="Arial"/>
                <w:b/>
                <w:bCs/>
              </w:rPr>
              <w:t>November 16</w:t>
            </w:r>
            <w:r>
              <w:rPr>
                <w:rFonts w:ascii="Arial" w:hAnsi="Arial" w:cs="Arial"/>
              </w:rPr>
              <w:t>: Newer printing technologies impacts on the environment, Marci Kinter &amp; Gary Jones, Printing United Alliance</w:t>
            </w:r>
          </w:p>
          <w:p w14:paraId="19A1230E" w14:textId="77777777" w:rsidR="005446F3" w:rsidRDefault="005446F3" w:rsidP="005446F3">
            <w:pPr>
              <w:numPr>
                <w:ilvl w:val="0"/>
                <w:numId w:val="11"/>
              </w:numPr>
              <w:spacing w:after="0" w:line="240" w:lineRule="auto"/>
              <w:rPr>
                <w:rFonts w:ascii="Arial" w:hAnsi="Arial" w:cs="Arial"/>
              </w:rPr>
            </w:pPr>
            <w:r>
              <w:rPr>
                <w:rFonts w:ascii="Arial" w:hAnsi="Arial" w:cs="Arial"/>
                <w:b/>
                <w:bCs/>
              </w:rPr>
              <w:t>December 21:</w:t>
            </w:r>
            <w:r>
              <w:rPr>
                <w:rFonts w:ascii="Arial" w:hAnsi="Arial" w:cs="Arial"/>
              </w:rPr>
              <w:t xml:space="preserve"> Multi-Sector General Permit for industrial stormwater discharges, Emily Halter, EPA Office of Water</w:t>
            </w:r>
          </w:p>
          <w:p w14:paraId="55CA93AC" w14:textId="77777777" w:rsidR="005446F3" w:rsidRDefault="005446F3" w:rsidP="005446F3">
            <w:pPr>
              <w:rPr>
                <w:rFonts w:ascii="Arial" w:hAnsi="Arial" w:cs="Arial"/>
                <w:b/>
                <w:bCs/>
              </w:rPr>
            </w:pPr>
          </w:p>
          <w:p w14:paraId="5790182E" w14:textId="77777777" w:rsidR="005446F3" w:rsidRDefault="005446F3" w:rsidP="005446F3">
            <w:pPr>
              <w:pStyle w:val="ListParagraph"/>
              <w:ind w:left="990" w:hanging="990"/>
              <w:rPr>
                <w:rFonts w:ascii="Arial" w:hAnsi="Arial" w:cs="Arial"/>
                <w:b/>
                <w:bCs/>
                <w:sz w:val="28"/>
                <w:szCs w:val="28"/>
              </w:rPr>
            </w:pPr>
            <w:r>
              <w:rPr>
                <w:rFonts w:ascii="Arial" w:hAnsi="Arial" w:cs="Arial"/>
                <w:b/>
                <w:bCs/>
                <w:sz w:val="28"/>
                <w:szCs w:val="28"/>
              </w:rPr>
              <w:t xml:space="preserve">Next Call: September 21, 2021 </w:t>
            </w:r>
          </w:p>
          <w:p w14:paraId="4DFC8FBA" w14:textId="77777777" w:rsidR="005446F3" w:rsidRDefault="005446F3" w:rsidP="005446F3">
            <w:pPr>
              <w:pStyle w:val="ListParagraph"/>
              <w:ind w:left="0"/>
              <w:rPr>
                <w:rFonts w:ascii="Arial" w:hAnsi="Arial" w:cs="Arial"/>
                <w:bCs/>
                <w:sz w:val="24"/>
                <w:szCs w:val="24"/>
              </w:rPr>
            </w:pPr>
            <w:r>
              <w:rPr>
                <w:rFonts w:ascii="Arial" w:hAnsi="Arial" w:cs="Arial"/>
                <w:bCs/>
                <w:sz w:val="24"/>
                <w:szCs w:val="24"/>
              </w:rPr>
              <w:t>1 pm CST (2 pm EST) (3</w:t>
            </w:r>
            <w:r>
              <w:rPr>
                <w:rFonts w:ascii="Arial" w:hAnsi="Arial" w:cs="Arial"/>
                <w:bCs/>
                <w:sz w:val="24"/>
                <w:szCs w:val="24"/>
                <w:vertAlign w:val="superscript"/>
              </w:rPr>
              <w:t>rd</w:t>
            </w:r>
            <w:r>
              <w:rPr>
                <w:rFonts w:ascii="Arial" w:hAnsi="Arial" w:cs="Arial"/>
                <w:bCs/>
                <w:sz w:val="24"/>
                <w:szCs w:val="24"/>
              </w:rPr>
              <w:t xml:space="preserve"> Tuesday of month)</w:t>
            </w:r>
          </w:p>
          <w:p w14:paraId="5675F4AB" w14:textId="77777777" w:rsidR="005446F3" w:rsidRDefault="005446F3" w:rsidP="005446F3">
            <w:pPr>
              <w:pStyle w:val="ListParagraph"/>
              <w:ind w:left="0"/>
              <w:rPr>
                <w:rFonts w:ascii="Arial" w:hAnsi="Arial" w:cs="Arial"/>
                <w:bCs/>
                <w:sz w:val="20"/>
                <w:szCs w:val="20"/>
              </w:rPr>
            </w:pPr>
          </w:p>
        </w:tc>
      </w:tr>
    </w:tbl>
    <w:p w14:paraId="0000004B" w14:textId="77777777" w:rsidR="000B0B9B" w:rsidRPr="00C57AC5" w:rsidRDefault="000B0B9B" w:rsidP="003135A4">
      <w:pPr>
        <w:pBdr>
          <w:top w:val="nil"/>
          <w:left w:val="nil"/>
          <w:bottom w:val="nil"/>
          <w:right w:val="nil"/>
          <w:between w:val="nil"/>
        </w:pBdr>
        <w:spacing w:after="0" w:line="240" w:lineRule="auto"/>
        <w:rPr>
          <w:rFonts w:ascii="Arial" w:eastAsia="Arial" w:hAnsi="Arial" w:cs="Arial"/>
          <w:sz w:val="24"/>
          <w:szCs w:val="24"/>
        </w:rPr>
      </w:pPr>
    </w:p>
    <w:sectPr w:rsidR="000B0B9B" w:rsidRPr="00C57A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B0C"/>
    <w:multiLevelType w:val="hybridMultilevel"/>
    <w:tmpl w:val="C13A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F34686"/>
    <w:multiLevelType w:val="multilevel"/>
    <w:tmpl w:val="12E079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E57FC2"/>
    <w:multiLevelType w:val="hybridMultilevel"/>
    <w:tmpl w:val="AC246DB6"/>
    <w:lvl w:ilvl="0" w:tplc="38185CD6">
      <w:start w:val="1"/>
      <w:numFmt w:val="decimal"/>
      <w:lvlText w:val="%1."/>
      <w:lvlJc w:val="left"/>
      <w:pPr>
        <w:ind w:left="720" w:hanging="360"/>
      </w:pPr>
      <w:rPr>
        <w:rFonts w:hint="default"/>
        <w:b/>
        <w:bCs/>
      </w:rPr>
    </w:lvl>
    <w:lvl w:ilvl="1" w:tplc="B7FE3DF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25A6D"/>
    <w:multiLevelType w:val="hybridMultilevel"/>
    <w:tmpl w:val="EAAC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4"/>
  </w:num>
  <w:num w:numId="6">
    <w:abstractNumId w:val="5"/>
  </w:num>
  <w:num w:numId="7">
    <w:abstractNumId w:val="4"/>
  </w:num>
  <w:num w:numId="8">
    <w:abstractNumId w:val="0"/>
  </w:num>
  <w:num w:numId="9">
    <w:abstractNumId w:val="4"/>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B"/>
    <w:rsid w:val="000044EB"/>
    <w:rsid w:val="0001063C"/>
    <w:rsid w:val="00014B32"/>
    <w:rsid w:val="00020742"/>
    <w:rsid w:val="00034903"/>
    <w:rsid w:val="00034A63"/>
    <w:rsid w:val="000357DD"/>
    <w:rsid w:val="00041865"/>
    <w:rsid w:val="00044DF1"/>
    <w:rsid w:val="00062563"/>
    <w:rsid w:val="000733C6"/>
    <w:rsid w:val="000761DE"/>
    <w:rsid w:val="00080257"/>
    <w:rsid w:val="00082B41"/>
    <w:rsid w:val="00090A01"/>
    <w:rsid w:val="00095435"/>
    <w:rsid w:val="00097DCD"/>
    <w:rsid w:val="000B0B9B"/>
    <w:rsid w:val="000B1A72"/>
    <w:rsid w:val="000B3856"/>
    <w:rsid w:val="000B64D2"/>
    <w:rsid w:val="000D5B3F"/>
    <w:rsid w:val="000D7792"/>
    <w:rsid w:val="000E16D1"/>
    <w:rsid w:val="000E522E"/>
    <w:rsid w:val="001104A6"/>
    <w:rsid w:val="00113F00"/>
    <w:rsid w:val="00137F7F"/>
    <w:rsid w:val="00143165"/>
    <w:rsid w:val="00143723"/>
    <w:rsid w:val="0014648B"/>
    <w:rsid w:val="0016418D"/>
    <w:rsid w:val="00164F48"/>
    <w:rsid w:val="00170487"/>
    <w:rsid w:val="0017257C"/>
    <w:rsid w:val="001823D1"/>
    <w:rsid w:val="0018634E"/>
    <w:rsid w:val="00186A25"/>
    <w:rsid w:val="001C0B4D"/>
    <w:rsid w:val="001E3154"/>
    <w:rsid w:val="00200C16"/>
    <w:rsid w:val="002035C7"/>
    <w:rsid w:val="0020601B"/>
    <w:rsid w:val="0020604E"/>
    <w:rsid w:val="00211EDB"/>
    <w:rsid w:val="002231B9"/>
    <w:rsid w:val="00227C87"/>
    <w:rsid w:val="00230F96"/>
    <w:rsid w:val="0023233C"/>
    <w:rsid w:val="00250B49"/>
    <w:rsid w:val="00253D35"/>
    <w:rsid w:val="00260509"/>
    <w:rsid w:val="00261D97"/>
    <w:rsid w:val="00262229"/>
    <w:rsid w:val="00282CE5"/>
    <w:rsid w:val="002A7685"/>
    <w:rsid w:val="002B2573"/>
    <w:rsid w:val="002B4EE3"/>
    <w:rsid w:val="002B6389"/>
    <w:rsid w:val="002D7CCC"/>
    <w:rsid w:val="002E2C32"/>
    <w:rsid w:val="002E7DEC"/>
    <w:rsid w:val="002F078C"/>
    <w:rsid w:val="002F5DB0"/>
    <w:rsid w:val="002F6064"/>
    <w:rsid w:val="003014BE"/>
    <w:rsid w:val="0030725D"/>
    <w:rsid w:val="003135A4"/>
    <w:rsid w:val="00322DC7"/>
    <w:rsid w:val="003421C7"/>
    <w:rsid w:val="0034654C"/>
    <w:rsid w:val="00347B09"/>
    <w:rsid w:val="00351092"/>
    <w:rsid w:val="003511AC"/>
    <w:rsid w:val="003579C6"/>
    <w:rsid w:val="003776E1"/>
    <w:rsid w:val="00387E83"/>
    <w:rsid w:val="00396B52"/>
    <w:rsid w:val="003C4643"/>
    <w:rsid w:val="003D5006"/>
    <w:rsid w:val="003D6BDD"/>
    <w:rsid w:val="003E09B4"/>
    <w:rsid w:val="003F0230"/>
    <w:rsid w:val="003F2136"/>
    <w:rsid w:val="003F6151"/>
    <w:rsid w:val="004010B6"/>
    <w:rsid w:val="00411053"/>
    <w:rsid w:val="00411F3A"/>
    <w:rsid w:val="00424165"/>
    <w:rsid w:val="00426736"/>
    <w:rsid w:val="0043227C"/>
    <w:rsid w:val="00436723"/>
    <w:rsid w:val="00450543"/>
    <w:rsid w:val="00450BED"/>
    <w:rsid w:val="00455224"/>
    <w:rsid w:val="00464DCA"/>
    <w:rsid w:val="00474BBA"/>
    <w:rsid w:val="004B341D"/>
    <w:rsid w:val="004B3FBD"/>
    <w:rsid w:val="004C19DC"/>
    <w:rsid w:val="004C24AF"/>
    <w:rsid w:val="004C71A1"/>
    <w:rsid w:val="004E0A37"/>
    <w:rsid w:val="004F2029"/>
    <w:rsid w:val="005125C2"/>
    <w:rsid w:val="0051783B"/>
    <w:rsid w:val="00531569"/>
    <w:rsid w:val="005446F3"/>
    <w:rsid w:val="0056263C"/>
    <w:rsid w:val="00577231"/>
    <w:rsid w:val="00583742"/>
    <w:rsid w:val="005B3015"/>
    <w:rsid w:val="005F0A51"/>
    <w:rsid w:val="005F1D11"/>
    <w:rsid w:val="005F7FEC"/>
    <w:rsid w:val="00613261"/>
    <w:rsid w:val="00625A03"/>
    <w:rsid w:val="0063741B"/>
    <w:rsid w:val="00650622"/>
    <w:rsid w:val="006531C4"/>
    <w:rsid w:val="006562C2"/>
    <w:rsid w:val="006563E6"/>
    <w:rsid w:val="006600C3"/>
    <w:rsid w:val="00692727"/>
    <w:rsid w:val="00696A8B"/>
    <w:rsid w:val="006A668A"/>
    <w:rsid w:val="006B3B4C"/>
    <w:rsid w:val="006B443B"/>
    <w:rsid w:val="006C38CF"/>
    <w:rsid w:val="006E2AB5"/>
    <w:rsid w:val="006F1563"/>
    <w:rsid w:val="006F3452"/>
    <w:rsid w:val="006F4A64"/>
    <w:rsid w:val="006F74E1"/>
    <w:rsid w:val="00707A6B"/>
    <w:rsid w:val="00720E3B"/>
    <w:rsid w:val="0072638C"/>
    <w:rsid w:val="0073407A"/>
    <w:rsid w:val="00737489"/>
    <w:rsid w:val="007603A5"/>
    <w:rsid w:val="007646A4"/>
    <w:rsid w:val="007802E5"/>
    <w:rsid w:val="00784AD8"/>
    <w:rsid w:val="007968BE"/>
    <w:rsid w:val="007A1FB1"/>
    <w:rsid w:val="007B1337"/>
    <w:rsid w:val="007C15B0"/>
    <w:rsid w:val="007C24B1"/>
    <w:rsid w:val="007E00B7"/>
    <w:rsid w:val="007E2F25"/>
    <w:rsid w:val="0081419E"/>
    <w:rsid w:val="008156CC"/>
    <w:rsid w:val="00820C59"/>
    <w:rsid w:val="00824727"/>
    <w:rsid w:val="00826AC0"/>
    <w:rsid w:val="00845F78"/>
    <w:rsid w:val="00852853"/>
    <w:rsid w:val="00855A50"/>
    <w:rsid w:val="00856CF1"/>
    <w:rsid w:val="008626B5"/>
    <w:rsid w:val="008633B8"/>
    <w:rsid w:val="008638C7"/>
    <w:rsid w:val="00875E77"/>
    <w:rsid w:val="00892822"/>
    <w:rsid w:val="008A31BE"/>
    <w:rsid w:val="008A532E"/>
    <w:rsid w:val="008B6B93"/>
    <w:rsid w:val="008C33AB"/>
    <w:rsid w:val="008D36AE"/>
    <w:rsid w:val="008D6155"/>
    <w:rsid w:val="008F3BD5"/>
    <w:rsid w:val="008F725F"/>
    <w:rsid w:val="008F728B"/>
    <w:rsid w:val="0090194B"/>
    <w:rsid w:val="00925D44"/>
    <w:rsid w:val="00930D35"/>
    <w:rsid w:val="00930D9C"/>
    <w:rsid w:val="00937133"/>
    <w:rsid w:val="0094510B"/>
    <w:rsid w:val="009544F1"/>
    <w:rsid w:val="00962559"/>
    <w:rsid w:val="0097647D"/>
    <w:rsid w:val="009A1590"/>
    <w:rsid w:val="009A4631"/>
    <w:rsid w:val="009B4E91"/>
    <w:rsid w:val="009E02DF"/>
    <w:rsid w:val="009F0E42"/>
    <w:rsid w:val="00A12641"/>
    <w:rsid w:val="00A23A6F"/>
    <w:rsid w:val="00A30FBC"/>
    <w:rsid w:val="00A34F69"/>
    <w:rsid w:val="00A365B1"/>
    <w:rsid w:val="00A37BD9"/>
    <w:rsid w:val="00A37BFA"/>
    <w:rsid w:val="00A5494E"/>
    <w:rsid w:val="00A54994"/>
    <w:rsid w:val="00A63738"/>
    <w:rsid w:val="00A648EE"/>
    <w:rsid w:val="00A8413C"/>
    <w:rsid w:val="00A84990"/>
    <w:rsid w:val="00A91599"/>
    <w:rsid w:val="00AB78C1"/>
    <w:rsid w:val="00AC4E10"/>
    <w:rsid w:val="00AE3E88"/>
    <w:rsid w:val="00AF538E"/>
    <w:rsid w:val="00AF6067"/>
    <w:rsid w:val="00B135BB"/>
    <w:rsid w:val="00B21124"/>
    <w:rsid w:val="00B228B5"/>
    <w:rsid w:val="00B25840"/>
    <w:rsid w:val="00B27B9B"/>
    <w:rsid w:val="00B3313D"/>
    <w:rsid w:val="00B41459"/>
    <w:rsid w:val="00B46FE8"/>
    <w:rsid w:val="00B55CFE"/>
    <w:rsid w:val="00B705C4"/>
    <w:rsid w:val="00B725C5"/>
    <w:rsid w:val="00B8215A"/>
    <w:rsid w:val="00B977BF"/>
    <w:rsid w:val="00BA2A42"/>
    <w:rsid w:val="00BB0332"/>
    <w:rsid w:val="00BB3413"/>
    <w:rsid w:val="00BE2D3B"/>
    <w:rsid w:val="00BE3A9E"/>
    <w:rsid w:val="00BF175C"/>
    <w:rsid w:val="00BF75BB"/>
    <w:rsid w:val="00C112E7"/>
    <w:rsid w:val="00C14C44"/>
    <w:rsid w:val="00C2643D"/>
    <w:rsid w:val="00C3776E"/>
    <w:rsid w:val="00C40CB2"/>
    <w:rsid w:val="00C53C04"/>
    <w:rsid w:val="00C56C81"/>
    <w:rsid w:val="00C57AC5"/>
    <w:rsid w:val="00C76CEF"/>
    <w:rsid w:val="00C8084C"/>
    <w:rsid w:val="00CA3142"/>
    <w:rsid w:val="00CA50DC"/>
    <w:rsid w:val="00CA71EA"/>
    <w:rsid w:val="00CC1B7A"/>
    <w:rsid w:val="00CC2C4C"/>
    <w:rsid w:val="00D12C3F"/>
    <w:rsid w:val="00D14319"/>
    <w:rsid w:val="00D22AAA"/>
    <w:rsid w:val="00D27093"/>
    <w:rsid w:val="00D305D4"/>
    <w:rsid w:val="00D31791"/>
    <w:rsid w:val="00D46288"/>
    <w:rsid w:val="00D52767"/>
    <w:rsid w:val="00D53580"/>
    <w:rsid w:val="00D62E72"/>
    <w:rsid w:val="00D66638"/>
    <w:rsid w:val="00D711DA"/>
    <w:rsid w:val="00D735AF"/>
    <w:rsid w:val="00D82B78"/>
    <w:rsid w:val="00D86954"/>
    <w:rsid w:val="00DA45A0"/>
    <w:rsid w:val="00DC611F"/>
    <w:rsid w:val="00DD2B41"/>
    <w:rsid w:val="00DE2717"/>
    <w:rsid w:val="00DF31DE"/>
    <w:rsid w:val="00DF458B"/>
    <w:rsid w:val="00DF62A8"/>
    <w:rsid w:val="00E05AE9"/>
    <w:rsid w:val="00E12B8B"/>
    <w:rsid w:val="00E145CD"/>
    <w:rsid w:val="00E2120B"/>
    <w:rsid w:val="00E256CD"/>
    <w:rsid w:val="00E336CF"/>
    <w:rsid w:val="00E41A6C"/>
    <w:rsid w:val="00E41D4A"/>
    <w:rsid w:val="00E42A7D"/>
    <w:rsid w:val="00E43195"/>
    <w:rsid w:val="00E51815"/>
    <w:rsid w:val="00E526BE"/>
    <w:rsid w:val="00E556B4"/>
    <w:rsid w:val="00E5681C"/>
    <w:rsid w:val="00E76D26"/>
    <w:rsid w:val="00E816FD"/>
    <w:rsid w:val="00E921D6"/>
    <w:rsid w:val="00EA1B51"/>
    <w:rsid w:val="00EA32A8"/>
    <w:rsid w:val="00ED30EB"/>
    <w:rsid w:val="00ED4C43"/>
    <w:rsid w:val="00EE7146"/>
    <w:rsid w:val="00F01E9A"/>
    <w:rsid w:val="00F034F8"/>
    <w:rsid w:val="00F202CC"/>
    <w:rsid w:val="00F22946"/>
    <w:rsid w:val="00F26BF6"/>
    <w:rsid w:val="00F32C3D"/>
    <w:rsid w:val="00F32E12"/>
    <w:rsid w:val="00F32F69"/>
    <w:rsid w:val="00F471EA"/>
    <w:rsid w:val="00F56024"/>
    <w:rsid w:val="00F67100"/>
    <w:rsid w:val="00F671A0"/>
    <w:rsid w:val="00F769D2"/>
    <w:rsid w:val="00F83444"/>
    <w:rsid w:val="00F83C6F"/>
    <w:rsid w:val="00F86051"/>
    <w:rsid w:val="00F968B1"/>
    <w:rsid w:val="00FB7C48"/>
    <w:rsid w:val="00FC502C"/>
    <w:rsid w:val="00FC55DF"/>
    <w:rsid w:val="00FC5623"/>
    <w:rsid w:val="00FD1A56"/>
    <w:rsid w:val="00FD7285"/>
    <w:rsid w:val="00FE7498"/>
    <w:rsid w:val="00FE7610"/>
    <w:rsid w:val="00FF0834"/>
    <w:rsid w:val="00FF1581"/>
    <w:rsid w:val="00FF24E6"/>
    <w:rsid w:val="00FF3E85"/>
    <w:rsid w:val="00FF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9EF7"/>
  <w15:docId w15:val="{28FEBF1B-042D-4C92-A426-A6B4146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4C44"/>
    <w:pPr>
      <w:spacing w:after="0" w:line="240" w:lineRule="auto"/>
      <w:ind w:left="720"/>
    </w:pPr>
    <w:rPr>
      <w:rFonts w:eastAsia="Times New Roman"/>
    </w:rPr>
  </w:style>
  <w:style w:type="character" w:styleId="Hyperlink">
    <w:name w:val="Hyperlink"/>
    <w:basedOn w:val="DefaultParagraphFont"/>
    <w:uiPriority w:val="99"/>
    <w:unhideWhenUsed/>
    <w:rsid w:val="00143723"/>
    <w:rPr>
      <w:color w:val="0000FF"/>
      <w:u w:val="single"/>
    </w:rPr>
  </w:style>
  <w:style w:type="paragraph" w:styleId="NormalWeb">
    <w:name w:val="Normal (Web)"/>
    <w:basedOn w:val="Normal"/>
    <w:uiPriority w:val="99"/>
    <w:unhideWhenUsed/>
    <w:rsid w:val="0014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62563"/>
    <w:rPr>
      <w:color w:val="605E5C"/>
      <w:shd w:val="clear" w:color="auto" w:fill="E1DFDD"/>
    </w:rPr>
  </w:style>
  <w:style w:type="paragraph" w:customStyle="1" w:styleId="Standard1">
    <w:name w:val="Standard1"/>
    <w:uiPriority w:val="99"/>
    <w:rsid w:val="00260509"/>
    <w:pPr>
      <w:spacing w:before="60" w:after="60" w:line="240" w:lineRule="auto"/>
    </w:pPr>
    <w:rPr>
      <w:rFonts w:ascii="Times New Roman" w:eastAsia="Times New Roman" w:hAnsi="Times New Roman" w:cs="Times New Roman"/>
      <w:noProof/>
      <w:sz w:val="20"/>
      <w:szCs w:val="20"/>
    </w:rPr>
  </w:style>
  <w:style w:type="character" w:styleId="UnresolvedMention">
    <w:name w:val="Unresolved Mention"/>
    <w:basedOn w:val="DefaultParagraphFont"/>
    <w:uiPriority w:val="99"/>
    <w:semiHidden/>
    <w:unhideWhenUsed/>
    <w:rsid w:val="00260509"/>
    <w:rPr>
      <w:color w:val="605E5C"/>
      <w:shd w:val="clear" w:color="auto" w:fill="E1DFDD"/>
    </w:rPr>
  </w:style>
  <w:style w:type="character" w:customStyle="1" w:styleId="gmaildefault">
    <w:name w:val="gmail_default"/>
    <w:basedOn w:val="DefaultParagraphFont"/>
    <w:rsid w:val="003135A4"/>
  </w:style>
  <w:style w:type="character" w:styleId="FollowedHyperlink">
    <w:name w:val="FollowedHyperlink"/>
    <w:basedOn w:val="DefaultParagraphFont"/>
    <w:uiPriority w:val="99"/>
    <w:semiHidden/>
    <w:unhideWhenUsed/>
    <w:rsid w:val="006A66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4663">
      <w:bodyDiv w:val="1"/>
      <w:marLeft w:val="0"/>
      <w:marRight w:val="0"/>
      <w:marTop w:val="0"/>
      <w:marBottom w:val="0"/>
      <w:divBdr>
        <w:top w:val="none" w:sz="0" w:space="0" w:color="auto"/>
        <w:left w:val="none" w:sz="0" w:space="0" w:color="auto"/>
        <w:bottom w:val="none" w:sz="0" w:space="0" w:color="auto"/>
        <w:right w:val="none" w:sz="0" w:space="0" w:color="auto"/>
      </w:divBdr>
      <w:divsChild>
        <w:div w:id="223830825">
          <w:marLeft w:val="0"/>
          <w:marRight w:val="0"/>
          <w:marTop w:val="0"/>
          <w:marBottom w:val="0"/>
          <w:divBdr>
            <w:top w:val="none" w:sz="0" w:space="0" w:color="auto"/>
            <w:left w:val="none" w:sz="0" w:space="0" w:color="auto"/>
            <w:bottom w:val="none" w:sz="0" w:space="0" w:color="auto"/>
            <w:right w:val="none" w:sz="0" w:space="0" w:color="auto"/>
          </w:divBdr>
        </w:div>
        <w:div w:id="1158887119">
          <w:marLeft w:val="0"/>
          <w:marRight w:val="0"/>
          <w:marTop w:val="0"/>
          <w:marBottom w:val="0"/>
          <w:divBdr>
            <w:top w:val="none" w:sz="0" w:space="0" w:color="auto"/>
            <w:left w:val="none" w:sz="0" w:space="0" w:color="auto"/>
            <w:bottom w:val="none" w:sz="0" w:space="0" w:color="auto"/>
            <w:right w:val="none" w:sz="0" w:space="0" w:color="auto"/>
          </w:divBdr>
        </w:div>
        <w:div w:id="1541749765">
          <w:marLeft w:val="0"/>
          <w:marRight w:val="0"/>
          <w:marTop w:val="120"/>
          <w:marBottom w:val="0"/>
          <w:divBdr>
            <w:top w:val="none" w:sz="0" w:space="0" w:color="auto"/>
            <w:left w:val="none" w:sz="0" w:space="0" w:color="auto"/>
            <w:bottom w:val="none" w:sz="0" w:space="0" w:color="auto"/>
            <w:right w:val="none" w:sz="0" w:space="0" w:color="auto"/>
          </w:divBdr>
          <w:divsChild>
            <w:div w:id="1250118660">
              <w:marLeft w:val="0"/>
              <w:marRight w:val="0"/>
              <w:marTop w:val="0"/>
              <w:marBottom w:val="0"/>
              <w:divBdr>
                <w:top w:val="none" w:sz="0" w:space="0" w:color="auto"/>
                <w:left w:val="none" w:sz="0" w:space="0" w:color="auto"/>
                <w:bottom w:val="none" w:sz="0" w:space="0" w:color="auto"/>
                <w:right w:val="none" w:sz="0" w:space="0" w:color="auto"/>
              </w:divBdr>
            </w:div>
          </w:divsChild>
        </w:div>
        <w:div w:id="2093313692">
          <w:marLeft w:val="0"/>
          <w:marRight w:val="0"/>
          <w:marTop w:val="120"/>
          <w:marBottom w:val="0"/>
          <w:divBdr>
            <w:top w:val="none" w:sz="0" w:space="0" w:color="auto"/>
            <w:left w:val="none" w:sz="0" w:space="0" w:color="auto"/>
            <w:bottom w:val="none" w:sz="0" w:space="0" w:color="auto"/>
            <w:right w:val="none" w:sz="0" w:space="0" w:color="auto"/>
          </w:divBdr>
          <w:divsChild>
            <w:div w:id="6978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0991">
      <w:bodyDiv w:val="1"/>
      <w:marLeft w:val="0"/>
      <w:marRight w:val="0"/>
      <w:marTop w:val="0"/>
      <w:marBottom w:val="0"/>
      <w:divBdr>
        <w:top w:val="none" w:sz="0" w:space="0" w:color="auto"/>
        <w:left w:val="none" w:sz="0" w:space="0" w:color="auto"/>
        <w:bottom w:val="none" w:sz="0" w:space="0" w:color="auto"/>
        <w:right w:val="none" w:sz="0" w:space="0" w:color="auto"/>
      </w:divBdr>
    </w:div>
    <w:div w:id="280234956">
      <w:bodyDiv w:val="1"/>
      <w:marLeft w:val="0"/>
      <w:marRight w:val="0"/>
      <w:marTop w:val="0"/>
      <w:marBottom w:val="0"/>
      <w:divBdr>
        <w:top w:val="none" w:sz="0" w:space="0" w:color="auto"/>
        <w:left w:val="none" w:sz="0" w:space="0" w:color="auto"/>
        <w:bottom w:val="none" w:sz="0" w:space="0" w:color="auto"/>
        <w:right w:val="none" w:sz="0" w:space="0" w:color="auto"/>
      </w:divBdr>
    </w:div>
    <w:div w:id="575436879">
      <w:bodyDiv w:val="1"/>
      <w:marLeft w:val="0"/>
      <w:marRight w:val="0"/>
      <w:marTop w:val="0"/>
      <w:marBottom w:val="0"/>
      <w:divBdr>
        <w:top w:val="none" w:sz="0" w:space="0" w:color="auto"/>
        <w:left w:val="none" w:sz="0" w:space="0" w:color="auto"/>
        <w:bottom w:val="none" w:sz="0" w:space="0" w:color="auto"/>
        <w:right w:val="none" w:sz="0" w:space="0" w:color="auto"/>
      </w:divBdr>
    </w:div>
    <w:div w:id="1205406482">
      <w:bodyDiv w:val="1"/>
      <w:marLeft w:val="0"/>
      <w:marRight w:val="0"/>
      <w:marTop w:val="0"/>
      <w:marBottom w:val="0"/>
      <w:divBdr>
        <w:top w:val="none" w:sz="0" w:space="0" w:color="auto"/>
        <w:left w:val="none" w:sz="0" w:space="0" w:color="auto"/>
        <w:bottom w:val="none" w:sz="0" w:space="0" w:color="auto"/>
        <w:right w:val="none" w:sz="0" w:space="0" w:color="auto"/>
      </w:divBdr>
    </w:div>
    <w:div w:id="1250775826">
      <w:bodyDiv w:val="1"/>
      <w:marLeft w:val="0"/>
      <w:marRight w:val="0"/>
      <w:marTop w:val="0"/>
      <w:marBottom w:val="0"/>
      <w:divBdr>
        <w:top w:val="none" w:sz="0" w:space="0" w:color="auto"/>
        <w:left w:val="none" w:sz="0" w:space="0" w:color="auto"/>
        <w:bottom w:val="none" w:sz="0" w:space="0" w:color="auto"/>
        <w:right w:val="none" w:sz="0" w:space="0" w:color="auto"/>
      </w:divBdr>
    </w:div>
    <w:div w:id="1310086518">
      <w:bodyDiv w:val="1"/>
      <w:marLeft w:val="0"/>
      <w:marRight w:val="0"/>
      <w:marTop w:val="0"/>
      <w:marBottom w:val="0"/>
      <w:divBdr>
        <w:top w:val="none" w:sz="0" w:space="0" w:color="auto"/>
        <w:left w:val="none" w:sz="0" w:space="0" w:color="auto"/>
        <w:bottom w:val="none" w:sz="0" w:space="0" w:color="auto"/>
        <w:right w:val="none" w:sz="0" w:space="0" w:color="auto"/>
      </w:divBdr>
    </w:div>
    <w:div w:id="1398940758">
      <w:bodyDiv w:val="1"/>
      <w:marLeft w:val="0"/>
      <w:marRight w:val="0"/>
      <w:marTop w:val="0"/>
      <w:marBottom w:val="0"/>
      <w:divBdr>
        <w:top w:val="none" w:sz="0" w:space="0" w:color="auto"/>
        <w:left w:val="none" w:sz="0" w:space="0" w:color="auto"/>
        <w:bottom w:val="none" w:sz="0" w:space="0" w:color="auto"/>
        <w:right w:val="none" w:sz="0" w:space="0" w:color="auto"/>
      </w:divBdr>
    </w:div>
    <w:div w:id="1861510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controlling-air-pollution-oil-and-natural-gas-industry/epa-methane-detection-technology-workshop?fbclid=IwAR2rDtwvQSf9QEjfT-Y25jzPvf-mzaqjHKExunct415SHLj2FbpE9XcZVIQ" TargetMode="External"/><Relationship Id="rId5" Type="http://schemas.openxmlformats.org/officeDocument/2006/relationships/hyperlink" Target="https://nationalsbeap.org/sbeap/resources/subcommittees/technic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Urso, Kaitlin</dc:creator>
  <cp:lastModifiedBy>Donovan Grimwood</cp:lastModifiedBy>
  <cp:revision>4</cp:revision>
  <dcterms:created xsi:type="dcterms:W3CDTF">2021-08-17T18:48:00Z</dcterms:created>
  <dcterms:modified xsi:type="dcterms:W3CDTF">2021-08-17T20:24:00Z</dcterms:modified>
</cp:coreProperties>
</file>